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90"/>
        </w:tabs>
        <w:adjustRightInd w:val="0"/>
        <w:snapToGrid w:val="0"/>
        <w:jc w:val="left"/>
        <w:rPr>
          <w:rFonts w:ascii="方正小标宋简体" w:hAnsi="宋体" w:eastAsia="方正小标宋简体"/>
          <w:sz w:val="28"/>
          <w:szCs w:val="28"/>
        </w:rPr>
      </w:pPr>
    </w:p>
    <w:p>
      <w:pPr>
        <w:adjustRightInd w:val="0"/>
        <w:snapToGrid w:val="0"/>
        <w:spacing w:line="336" w:lineRule="auto"/>
        <w:rPr>
          <w:rFonts w:ascii="黑体" w:eastAsia="黑体"/>
          <w:sz w:val="28"/>
        </w:rPr>
      </w:pPr>
    </w:p>
    <w:p>
      <w:pPr>
        <w:adjustRightInd w:val="0"/>
        <w:snapToGrid w:val="0"/>
        <w:spacing w:line="336" w:lineRule="auto"/>
        <w:rPr>
          <w:rFonts w:ascii="黑体" w:eastAsia="黑体"/>
          <w:sz w:val="28"/>
        </w:rPr>
      </w:pPr>
    </w:p>
    <w:p>
      <w:pPr>
        <w:adjustRightInd w:val="0"/>
        <w:snapToGrid w:val="0"/>
        <w:spacing w:line="336" w:lineRule="auto"/>
        <w:rPr>
          <w:rFonts w:ascii="黑体" w:eastAsia="黑体"/>
          <w:szCs w:val="21"/>
        </w:rPr>
      </w:pPr>
    </w:p>
    <w:p>
      <w:pPr>
        <w:tabs>
          <w:tab w:val="left" w:pos="790"/>
        </w:tabs>
        <w:adjustRightInd w:val="0"/>
        <w:snapToGrid w:val="0"/>
        <w:jc w:val="center"/>
        <w:rPr>
          <w:rFonts w:ascii="方正小标宋简体" w:hAnsi="宋体" w:eastAsia="方正小标宋简体"/>
          <w:color w:val="FF0000"/>
          <w:spacing w:val="-20"/>
          <w:sz w:val="60"/>
          <w:szCs w:val="60"/>
        </w:rPr>
      </w:pPr>
      <w:r>
        <w:rPr>
          <w:rFonts w:hint="eastAsia" w:ascii="方正小标宋简体" w:hAnsi="宋体" w:eastAsia="方正小标宋简体"/>
          <w:color w:val="FF0000"/>
          <w:spacing w:val="-20"/>
          <w:sz w:val="60"/>
          <w:szCs w:val="60"/>
        </w:rPr>
        <w:t>上海市崇明区市场监督管理局文件</w:t>
      </w:r>
    </w:p>
    <w:p>
      <w:pPr>
        <w:tabs>
          <w:tab w:val="left" w:pos="790"/>
        </w:tabs>
        <w:adjustRightInd w:val="0"/>
        <w:snapToGrid w:val="0"/>
        <w:spacing w:line="252" w:lineRule="auto"/>
        <w:jc w:val="center"/>
        <w:rPr>
          <w:rFonts w:ascii="黑体" w:eastAsia="黑体"/>
          <w:sz w:val="28"/>
        </w:rPr>
      </w:pPr>
    </w:p>
    <w:p>
      <w:pPr>
        <w:tabs>
          <w:tab w:val="left" w:pos="790"/>
        </w:tabs>
        <w:adjustRightInd w:val="0"/>
        <w:snapToGrid w:val="0"/>
        <w:spacing w:line="252" w:lineRule="auto"/>
        <w:jc w:val="center"/>
        <w:rPr>
          <w:rFonts w:ascii="黑体" w:eastAsia="黑体"/>
          <w:sz w:val="28"/>
        </w:rPr>
      </w:pPr>
    </w:p>
    <w:p>
      <w:pPr>
        <w:tabs>
          <w:tab w:val="left" w:pos="790"/>
        </w:tabs>
        <w:adjustRightInd w:val="0"/>
        <w:snapToGrid w:val="0"/>
        <w:spacing w:line="336" w:lineRule="auto"/>
        <w:jc w:val="center"/>
      </w:pPr>
      <w:r>
        <w:pict>
          <v:line id="_x0000_s1026" o:spid="_x0000_s1026" o:spt="20" style="position:absolute;left:0pt;margin-left:0.05pt;margin-top:27.65pt;height:0pt;width:442.2pt;z-index:251660288;mso-width-relative:page;mso-height-relative:page;" stroked="t" coordsize="21600,21600">
            <v:path arrowok="t"/>
            <v:fill focussize="0,0"/>
            <v:stroke weight="1.5pt" color="#FF0000"/>
            <v:imagedata o:title=""/>
            <o:lock v:ext="edit"/>
          </v:line>
        </w:pict>
      </w:r>
      <w:r>
        <w:rPr>
          <w:rFonts w:hint="eastAsia"/>
        </w:rPr>
        <w:t>沪崇市监办〔2022〕140号</w:t>
      </w:r>
    </w:p>
    <w:p>
      <w:pPr>
        <w:tabs>
          <w:tab w:val="left" w:pos="790"/>
        </w:tabs>
        <w:adjustRightInd w:val="0"/>
        <w:snapToGrid w:val="0"/>
        <w:spacing w:line="336" w:lineRule="auto"/>
        <w:jc w:val="center"/>
      </w:pPr>
    </w:p>
    <w:p>
      <w:pPr>
        <w:tabs>
          <w:tab w:val="left" w:pos="790"/>
        </w:tabs>
        <w:adjustRightInd w:val="0"/>
        <w:snapToGrid w:val="0"/>
        <w:spacing w:line="336" w:lineRule="auto"/>
        <w:jc w:val="center"/>
      </w:pPr>
    </w:p>
    <w:p>
      <w:pPr>
        <w:tabs>
          <w:tab w:val="left" w:pos="790"/>
        </w:tabs>
        <w:overflowPunct w:val="0"/>
        <w:adjustRightInd w:val="0"/>
        <w:snapToGrid w:val="0"/>
        <w:spacing w:line="60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上海市崇明区市场监督管理局关于印发</w:t>
      </w:r>
    </w:p>
    <w:p>
      <w:pPr>
        <w:tabs>
          <w:tab w:val="left" w:pos="790"/>
        </w:tabs>
        <w:overflowPunct w:val="0"/>
        <w:adjustRightInd w:val="0"/>
        <w:snapToGrid w:val="0"/>
        <w:spacing w:line="600" w:lineRule="exact"/>
        <w:ind w:right="170"/>
        <w:jc w:val="center"/>
        <w:rPr>
          <w:rFonts w:hint="eastAsia" w:ascii="方正小标宋简体" w:hAnsi="宋体" w:eastAsia="方正小标宋简体"/>
          <w:sz w:val="44"/>
          <w:szCs w:val="44"/>
        </w:rPr>
      </w:pPr>
      <w:r>
        <w:rPr>
          <w:rFonts w:hint="eastAsia" w:ascii="方正小标宋简体" w:hAnsi="宋体" w:eastAsia="方正小标宋简体"/>
          <w:sz w:val="44"/>
          <w:szCs w:val="44"/>
        </w:rPr>
        <w:t>《崇明区加快经济恢复和重振实施方案》</w:t>
      </w:r>
    </w:p>
    <w:p>
      <w:pPr>
        <w:tabs>
          <w:tab w:val="left" w:pos="790"/>
        </w:tabs>
        <w:overflowPunct w:val="0"/>
        <w:adjustRightInd w:val="0"/>
        <w:snapToGrid w:val="0"/>
        <w:spacing w:line="600" w:lineRule="exact"/>
        <w:ind w:right="170"/>
        <w:jc w:val="center"/>
        <w:rPr>
          <w:rFonts w:ascii="方正小标宋简体" w:hAnsi="宋体" w:eastAsia="方正小标宋简体"/>
          <w:sz w:val="44"/>
          <w:szCs w:val="44"/>
        </w:rPr>
      </w:pPr>
      <w:r>
        <w:rPr>
          <w:rFonts w:hint="eastAsia" w:ascii="方正小标宋简体" w:hAnsi="宋体" w:eastAsia="方正小标宋简体"/>
          <w:sz w:val="44"/>
          <w:szCs w:val="44"/>
        </w:rPr>
        <w:t>市场监管领域操作办法的通知</w:t>
      </w:r>
    </w:p>
    <w:p>
      <w:pPr>
        <w:tabs>
          <w:tab w:val="left" w:pos="790"/>
          <w:tab w:val="left" w:pos="1264"/>
        </w:tabs>
        <w:overflowPunct w:val="0"/>
        <w:adjustRightInd w:val="0"/>
        <w:snapToGrid w:val="0"/>
        <w:spacing w:line="336" w:lineRule="auto"/>
        <w:ind w:firstLine="624"/>
        <w:rPr>
          <w:rFonts w:hAnsi="宋体"/>
          <w:szCs w:val="30"/>
        </w:rPr>
      </w:pPr>
    </w:p>
    <w:p>
      <w:pPr>
        <w:tabs>
          <w:tab w:val="left" w:pos="790"/>
          <w:tab w:val="left" w:pos="1264"/>
        </w:tabs>
        <w:overflowPunct w:val="0"/>
        <w:adjustRightInd w:val="0"/>
        <w:snapToGrid w:val="0"/>
        <w:spacing w:line="560" w:lineRule="exact"/>
        <w:rPr>
          <w:rFonts w:hAnsi="宋体"/>
          <w:szCs w:val="30"/>
        </w:rPr>
      </w:pPr>
      <w:r>
        <w:rPr>
          <w:rFonts w:hint="eastAsia" w:hAnsi="宋体"/>
          <w:szCs w:val="30"/>
        </w:rPr>
        <w:t>各科（室）、执法大队、各市场监管所、局属事业单位：</w:t>
      </w:r>
    </w:p>
    <w:p>
      <w:pPr>
        <w:tabs>
          <w:tab w:val="left" w:pos="790"/>
          <w:tab w:val="left" w:pos="1264"/>
        </w:tabs>
        <w:overflowPunct w:val="0"/>
        <w:adjustRightInd w:val="0"/>
        <w:snapToGrid w:val="0"/>
        <w:spacing w:line="560" w:lineRule="exact"/>
        <w:ind w:firstLine="624"/>
        <w:rPr>
          <w:rFonts w:hAnsi="宋体"/>
          <w:szCs w:val="30"/>
        </w:rPr>
      </w:pPr>
      <w:r>
        <w:rPr>
          <w:rFonts w:hint="eastAsia" w:hAnsi="宋体"/>
          <w:szCs w:val="30"/>
        </w:rPr>
        <w:t>为了加快我区经济恢复和重振，助力市场主体复工复产，根据《崇明区加快经济恢复和重振实施方案》文件精神，我局研究制定了市场监管领域的配套操作办法，现印发给你们，请结合实际，认真贯彻执行。</w:t>
      </w:r>
    </w:p>
    <w:p>
      <w:pPr>
        <w:tabs>
          <w:tab w:val="left" w:pos="790"/>
          <w:tab w:val="left" w:pos="1264"/>
        </w:tabs>
        <w:overflowPunct w:val="0"/>
        <w:adjustRightInd w:val="0"/>
        <w:snapToGrid w:val="0"/>
        <w:spacing w:line="560" w:lineRule="exact"/>
        <w:ind w:firstLine="624"/>
        <w:rPr>
          <w:rFonts w:hAnsi="宋体"/>
          <w:szCs w:val="30"/>
        </w:rPr>
      </w:pPr>
    </w:p>
    <w:p>
      <w:pPr>
        <w:tabs>
          <w:tab w:val="left" w:pos="790"/>
          <w:tab w:val="left" w:pos="1264"/>
        </w:tabs>
        <w:overflowPunct w:val="0"/>
        <w:adjustRightInd w:val="0"/>
        <w:snapToGrid w:val="0"/>
        <w:spacing w:line="560" w:lineRule="exact"/>
        <w:ind w:left="1920" w:leftChars="200" w:hanging="1280" w:hangingChars="400"/>
        <w:rPr>
          <w:rFonts w:hAnsi="宋体"/>
          <w:szCs w:val="30"/>
        </w:rPr>
      </w:pPr>
      <w:r>
        <w:rPr>
          <w:rFonts w:hint="eastAsia" w:hAnsi="宋体"/>
          <w:szCs w:val="30"/>
        </w:rPr>
        <w:t>附件：1.崇明区进口冷链相关单位核酸检测费用补贴操作办法</w:t>
      </w:r>
    </w:p>
    <w:p>
      <w:pPr>
        <w:tabs>
          <w:tab w:val="left" w:pos="790"/>
          <w:tab w:val="left" w:pos="1264"/>
        </w:tabs>
        <w:overflowPunct w:val="0"/>
        <w:adjustRightInd w:val="0"/>
        <w:snapToGrid w:val="0"/>
        <w:spacing w:line="560" w:lineRule="exact"/>
        <w:ind w:left="1920" w:leftChars="500" w:hanging="320" w:hangingChars="100"/>
        <w:rPr>
          <w:rFonts w:hAnsi="宋体"/>
          <w:szCs w:val="30"/>
        </w:rPr>
      </w:pPr>
      <w:r>
        <w:rPr>
          <w:rFonts w:hint="eastAsia" w:hAnsi="宋体"/>
          <w:szCs w:val="30"/>
        </w:rPr>
        <w:t>2.崇明区执行本市阶段性降低特种设备检验检测收费标准操作办法</w:t>
      </w:r>
    </w:p>
    <w:p>
      <w:pPr>
        <w:tabs>
          <w:tab w:val="left" w:pos="790"/>
          <w:tab w:val="left" w:pos="1264"/>
        </w:tabs>
        <w:overflowPunct w:val="0"/>
        <w:adjustRightInd w:val="0"/>
        <w:snapToGrid w:val="0"/>
        <w:spacing w:line="560" w:lineRule="exact"/>
        <w:ind w:firstLine="1600" w:firstLineChars="500"/>
        <w:rPr>
          <w:rFonts w:hAnsi="宋体"/>
          <w:szCs w:val="30"/>
        </w:rPr>
      </w:pPr>
      <w:r>
        <w:rPr>
          <w:rFonts w:hint="eastAsia" w:hAnsi="宋体"/>
          <w:szCs w:val="30"/>
        </w:rPr>
        <w:t>3.崇明区支持企业信用修复操作办法</w:t>
      </w:r>
    </w:p>
    <w:p>
      <w:pPr>
        <w:tabs>
          <w:tab w:val="left" w:pos="790"/>
          <w:tab w:val="left" w:pos="1264"/>
        </w:tabs>
        <w:overflowPunct w:val="0"/>
        <w:adjustRightInd w:val="0"/>
        <w:snapToGrid w:val="0"/>
        <w:spacing w:line="560" w:lineRule="exact"/>
        <w:ind w:firstLine="1600" w:firstLineChars="500"/>
        <w:rPr>
          <w:rFonts w:hAnsi="宋体"/>
          <w:szCs w:val="30"/>
        </w:rPr>
      </w:pPr>
      <w:r>
        <w:rPr>
          <w:rFonts w:hint="eastAsia" w:hAnsi="宋体"/>
          <w:szCs w:val="30"/>
        </w:rPr>
        <w:t>4.崇明区便利登记服务操作办法</w:t>
      </w:r>
    </w:p>
    <w:p>
      <w:pPr>
        <w:tabs>
          <w:tab w:val="left" w:pos="790"/>
          <w:tab w:val="left" w:pos="1264"/>
        </w:tabs>
        <w:overflowPunct w:val="0"/>
        <w:adjustRightInd w:val="0"/>
        <w:snapToGrid w:val="0"/>
        <w:spacing w:line="560" w:lineRule="exact"/>
        <w:ind w:firstLine="624"/>
        <w:rPr>
          <w:rFonts w:hAnsi="宋体"/>
          <w:szCs w:val="30"/>
        </w:rPr>
      </w:pPr>
    </w:p>
    <w:p>
      <w:pPr>
        <w:tabs>
          <w:tab w:val="left" w:pos="790"/>
          <w:tab w:val="left" w:pos="1264"/>
        </w:tabs>
        <w:overflowPunct w:val="0"/>
        <w:adjustRightInd w:val="0"/>
        <w:snapToGrid w:val="0"/>
        <w:spacing w:line="560" w:lineRule="exact"/>
        <w:ind w:firstLine="624"/>
        <w:rPr>
          <w:rFonts w:hAnsi="宋体"/>
          <w:szCs w:val="30"/>
        </w:rPr>
      </w:pPr>
    </w:p>
    <w:p>
      <w:pPr>
        <w:tabs>
          <w:tab w:val="left" w:pos="790"/>
          <w:tab w:val="left" w:pos="1264"/>
        </w:tabs>
        <w:overflowPunct w:val="0"/>
        <w:adjustRightInd w:val="0"/>
        <w:snapToGrid w:val="0"/>
        <w:spacing w:line="560" w:lineRule="exact"/>
        <w:ind w:firstLine="624"/>
        <w:rPr>
          <w:rFonts w:hAnsi="宋体"/>
          <w:szCs w:val="30"/>
        </w:rPr>
      </w:pPr>
    </w:p>
    <w:p>
      <w:pPr>
        <w:tabs>
          <w:tab w:val="left" w:pos="790"/>
          <w:tab w:val="left" w:pos="1264"/>
        </w:tabs>
        <w:overflowPunct w:val="0"/>
        <w:adjustRightInd w:val="0"/>
        <w:snapToGrid w:val="0"/>
        <w:spacing w:line="560" w:lineRule="exact"/>
        <w:ind w:right="621" w:firstLine="624"/>
        <w:jc w:val="right"/>
        <w:rPr>
          <w:rFonts w:hAnsi="宋体"/>
          <w:szCs w:val="30"/>
        </w:rPr>
      </w:pPr>
      <w:r>
        <w:rPr>
          <w:rFonts w:hint="eastAsia" w:hAnsi="宋体"/>
          <w:szCs w:val="30"/>
        </w:rPr>
        <w:t>上海市崇明</w:t>
      </w:r>
      <w:r>
        <w:rPr>
          <w:rFonts w:hint="eastAsia" w:hAnsi="宋体"/>
          <w:szCs w:val="30"/>
          <w:lang w:eastAsia="zh-CN"/>
        </w:rPr>
        <w:t>区</w:t>
      </w:r>
      <w:bookmarkStart w:id="0" w:name="_GoBack"/>
      <w:bookmarkEnd w:id="0"/>
      <w:r>
        <w:rPr>
          <w:rFonts w:hint="eastAsia" w:hAnsi="宋体"/>
          <w:szCs w:val="30"/>
        </w:rPr>
        <w:t>市场监督管理局</w:t>
      </w:r>
    </w:p>
    <w:p>
      <w:pPr>
        <w:tabs>
          <w:tab w:val="left" w:pos="790"/>
          <w:tab w:val="left" w:pos="1264"/>
        </w:tabs>
        <w:overflowPunct w:val="0"/>
        <w:adjustRightInd w:val="0"/>
        <w:snapToGrid w:val="0"/>
        <w:spacing w:line="560" w:lineRule="exact"/>
        <w:ind w:right="1247" w:firstLine="624"/>
        <w:jc w:val="right"/>
        <w:rPr>
          <w:rFonts w:hAnsi="宋体"/>
          <w:szCs w:val="30"/>
        </w:rPr>
      </w:pPr>
      <w:r>
        <w:rPr>
          <w:rFonts w:hint="eastAsia" w:hAnsi="宋体"/>
          <w:szCs w:val="30"/>
        </w:rPr>
        <w:t>2022年</w:t>
      </w:r>
      <w:r>
        <w:rPr>
          <w:rFonts w:hAnsi="宋体"/>
          <w:szCs w:val="30"/>
        </w:rPr>
        <w:t>6</w:t>
      </w:r>
      <w:r>
        <w:rPr>
          <w:rFonts w:hint="eastAsia" w:hAnsi="宋体"/>
          <w:szCs w:val="30"/>
        </w:rPr>
        <w:t>月27日</w:t>
      </w:r>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rPr>
          <w:rFonts w:ascii="黑体" w:hAnsi="黑体" w:eastAsia="黑体"/>
        </w:rPr>
      </w:pPr>
      <w:r>
        <w:rPr>
          <w:rFonts w:hint="eastAsia" w:ascii="黑体" w:hAnsi="黑体" w:eastAsia="黑体"/>
        </w:rPr>
        <w:t>附件1</w:t>
      </w:r>
    </w:p>
    <w:p>
      <w:pPr>
        <w:spacing w:line="60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崇明区进口冷链相关单位核酸检测费用补贴操作办法</w:t>
      </w:r>
    </w:p>
    <w:p>
      <w:pPr>
        <w:ind w:firstLine="640" w:firstLineChars="200"/>
        <w:rPr>
          <w:rFonts w:ascii="黑体" w:hAnsi="黑体" w:eastAsia="黑体" w:cs="黑体"/>
        </w:rPr>
      </w:pPr>
    </w:p>
    <w:p>
      <w:pPr>
        <w:spacing w:line="560" w:lineRule="exact"/>
        <w:ind w:firstLine="640" w:firstLineChars="200"/>
        <w:rPr>
          <w:rFonts w:ascii="黑体" w:hAnsi="黑体" w:eastAsia="黑体" w:cs="黑体"/>
        </w:rPr>
      </w:pPr>
      <w:r>
        <w:rPr>
          <w:rFonts w:hint="eastAsia" w:ascii="黑体" w:hAnsi="黑体" w:eastAsia="黑体" w:cs="黑体"/>
        </w:rPr>
        <w:t>一、条款内容</w:t>
      </w:r>
    </w:p>
    <w:p>
      <w:pPr>
        <w:spacing w:line="560" w:lineRule="exact"/>
        <w:ind w:firstLine="420"/>
      </w:pPr>
      <w:r>
        <w:rPr>
          <w:rFonts w:hint="eastAsia"/>
        </w:rPr>
        <w:t>在《崇明区加快经济恢复和重振实施方案》第（五）条“加速复工复产达产”中，扩大防疫和消杀补贴范围。在对零售、餐饮、外卖和春耕农资保供等相关企业落实已有补贴政策的基础上，</w:t>
      </w:r>
      <w:r>
        <w:t>2022</w:t>
      </w:r>
      <w:r>
        <w:rPr>
          <w:rFonts w:hint="eastAsia"/>
        </w:rPr>
        <w:t>年对物业服务、住宿、文化旅游等行业防疫和消杀支出，给予分档定额补贴。鼓励对复工复产复市单位疫情防控支出</w:t>
      </w:r>
      <w:r>
        <w:t>,</w:t>
      </w:r>
      <w:r>
        <w:rPr>
          <w:rFonts w:hint="eastAsia"/>
        </w:rPr>
        <w:t>按照实际运营规模给予分档定额补贴。</w:t>
      </w:r>
    </w:p>
    <w:p>
      <w:pPr>
        <w:spacing w:line="560" w:lineRule="exact"/>
        <w:ind w:firstLine="640" w:firstLineChars="200"/>
        <w:rPr>
          <w:rFonts w:ascii="黑体" w:hAnsi="黑体" w:eastAsia="黑体" w:cs="黑体"/>
        </w:rPr>
      </w:pPr>
      <w:r>
        <w:rPr>
          <w:rFonts w:hint="eastAsia" w:ascii="黑体" w:hAnsi="黑体" w:eastAsia="黑体" w:cs="黑体"/>
        </w:rPr>
        <w:t>二、执行期限</w:t>
      </w:r>
    </w:p>
    <w:p>
      <w:pPr>
        <w:spacing w:line="560" w:lineRule="exact"/>
        <w:ind w:firstLine="640" w:firstLineChars="200"/>
      </w:pPr>
      <w:r>
        <w:rPr>
          <w:rFonts w:hint="eastAsia"/>
        </w:rPr>
        <w:t>2021年1月1日起至2022年12月31日（根据核酸检测单价、补贴时段数量另行测算2022年3月31日后的补贴费用）。</w:t>
      </w:r>
    </w:p>
    <w:p>
      <w:pPr>
        <w:spacing w:line="560" w:lineRule="exact"/>
        <w:ind w:firstLine="640" w:firstLineChars="200"/>
        <w:rPr>
          <w:rFonts w:ascii="黑体" w:hAnsi="黑体" w:eastAsia="黑体" w:cs="黑体"/>
        </w:rPr>
      </w:pPr>
      <w:r>
        <w:rPr>
          <w:rFonts w:hint="eastAsia" w:ascii="黑体" w:hAnsi="黑体" w:eastAsia="黑体" w:cs="黑体"/>
        </w:rPr>
        <w:t>三、具体内容</w:t>
      </w:r>
    </w:p>
    <w:p>
      <w:pPr>
        <w:spacing w:line="560" w:lineRule="exact"/>
        <w:ind w:firstLine="640" w:firstLineChars="200"/>
        <w:rPr>
          <w:rFonts w:ascii="楷体" w:hAnsi="楷体" w:eastAsia="楷体"/>
        </w:rPr>
      </w:pPr>
      <w:r>
        <w:rPr>
          <w:rFonts w:hint="eastAsia" w:ascii="楷体" w:hAnsi="楷体" w:eastAsia="楷体"/>
        </w:rPr>
        <w:t>（一）支持对象</w:t>
      </w:r>
    </w:p>
    <w:p>
      <w:pPr>
        <w:spacing w:line="560" w:lineRule="exact"/>
        <w:ind w:firstLine="640" w:firstLineChars="200"/>
      </w:pPr>
      <w:r>
        <w:rPr>
          <w:rFonts w:hint="eastAsia"/>
        </w:rPr>
        <w:t>进口冷链食品生产和食品经营单位（含餐饮）。</w:t>
      </w:r>
    </w:p>
    <w:p>
      <w:pPr>
        <w:spacing w:line="560" w:lineRule="exact"/>
        <w:ind w:firstLine="640" w:firstLineChars="200"/>
        <w:rPr>
          <w:rFonts w:ascii="楷体" w:hAnsi="楷体" w:eastAsia="楷体"/>
        </w:rPr>
      </w:pPr>
      <w:r>
        <w:rPr>
          <w:rFonts w:hint="eastAsia" w:ascii="楷体" w:hAnsi="楷体" w:eastAsia="楷体"/>
        </w:rPr>
        <w:t>（二）支持内容</w:t>
      </w:r>
    </w:p>
    <w:p>
      <w:pPr>
        <w:spacing w:line="560" w:lineRule="exact"/>
        <w:ind w:firstLine="640" w:firstLineChars="200"/>
      </w:pPr>
      <w:r>
        <w:rPr>
          <w:rFonts w:hint="eastAsia"/>
        </w:rPr>
        <w:t>对2021年1月1日至2022年3月31日期间从事以进口冷链食品为原料的食品生产和食品经营单位（餐饮）重点岗位从业人员按照要求频次开展的核酸检测费用予以全额补贴。涉及30户单位、227人，预估费用74万元。</w:t>
      </w:r>
    </w:p>
    <w:p>
      <w:pPr>
        <w:spacing w:line="560" w:lineRule="exact"/>
        <w:ind w:firstLine="640" w:firstLineChars="200"/>
        <w:rPr>
          <w:rFonts w:ascii="黑体" w:hAnsi="黑体" w:eastAsia="黑体" w:cs="黑体"/>
        </w:rPr>
      </w:pPr>
      <w:r>
        <w:rPr>
          <w:rFonts w:hint="eastAsia" w:ascii="黑体" w:hAnsi="黑体" w:eastAsia="黑体" w:cs="黑体"/>
        </w:rPr>
        <w:t>四、申请方式和所需材料</w:t>
      </w:r>
    </w:p>
    <w:p>
      <w:pPr>
        <w:spacing w:line="560" w:lineRule="exact"/>
        <w:ind w:firstLine="640" w:firstLineChars="200"/>
      </w:pPr>
      <w:r>
        <w:rPr>
          <w:rFonts w:hint="eastAsia"/>
        </w:rPr>
        <w:t>符合条件的进口冷链生产经营单位向区市场监督管理局申请补贴，填写《崇明区进口冷链相关单位核酸检测费用补贴申请表》《信用承诺书》，并提供营业执照副本复印件、重点岗位人员清单及核酸检测费用统计表、对应的核酸检测费用相关证明材料。</w:t>
      </w:r>
    </w:p>
    <w:p>
      <w:pPr>
        <w:spacing w:line="560" w:lineRule="exact"/>
        <w:ind w:firstLine="640" w:firstLineChars="200"/>
        <w:rPr>
          <w:rFonts w:ascii="黑体" w:hAnsi="黑体" w:eastAsia="黑体" w:cs="黑体"/>
        </w:rPr>
      </w:pPr>
      <w:r>
        <w:rPr>
          <w:rFonts w:hint="eastAsia" w:ascii="黑体" w:hAnsi="黑体" w:eastAsia="黑体" w:cs="黑体"/>
        </w:rPr>
        <w:t>五、办理路径</w:t>
      </w:r>
    </w:p>
    <w:p>
      <w:pPr>
        <w:pStyle w:val="10"/>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1.企业按日常管辖归属向属地市场监管所或执法大队提交纸质申报材料（一式两份）。</w:t>
      </w:r>
    </w:p>
    <w:p>
      <w:pPr>
        <w:pStyle w:val="10"/>
        <w:spacing w:line="560" w:lineRule="exact"/>
        <w:ind w:left="420" w:firstLine="160" w:firstLineChars="5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2.各市场监管所、执法大队受理申报材料，进行初审后</w:t>
      </w:r>
    </w:p>
    <w:p>
      <w:pPr>
        <w:pStyle w:val="10"/>
        <w:spacing w:line="560" w:lineRule="exact"/>
        <w:ind w:firstLine="0" w:firstLineChars="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上报区市场监管局。</w:t>
      </w:r>
    </w:p>
    <w:p>
      <w:pPr>
        <w:pStyle w:val="10"/>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3.区市场监管局负责申报事项的接收和审核后报区财政局审批，并由区财政局负责资金拨付。</w:t>
      </w:r>
    </w:p>
    <w:p>
      <w:pPr>
        <w:spacing w:line="560" w:lineRule="exact"/>
        <w:ind w:firstLine="640" w:firstLineChars="200"/>
        <w:rPr>
          <w:rFonts w:ascii="黑体" w:hAnsi="黑体" w:eastAsia="黑体" w:cs="黑体"/>
        </w:rPr>
      </w:pPr>
      <w:r>
        <w:rPr>
          <w:rFonts w:hint="eastAsia" w:ascii="黑体" w:hAnsi="黑体" w:eastAsia="黑体" w:cs="黑体"/>
        </w:rPr>
        <w:t>六、联系方式</w:t>
      </w:r>
    </w:p>
    <w:p>
      <w:pPr>
        <w:spacing w:line="560" w:lineRule="exact"/>
        <w:ind w:firstLine="640" w:firstLineChars="200"/>
      </w:pPr>
      <w:r>
        <w:rPr>
          <w:rFonts w:hint="eastAsia"/>
        </w:rPr>
        <w:t>本操作办法由崇明区市场监督管理局负责解释。</w:t>
      </w:r>
    </w:p>
    <w:p>
      <w:pPr>
        <w:spacing w:line="560" w:lineRule="exact"/>
        <w:ind w:firstLine="640" w:firstLineChars="200"/>
      </w:pPr>
      <w:r>
        <w:rPr>
          <w:rFonts w:hint="eastAsia"/>
        </w:rPr>
        <w:t>受理地址：属地市场监管所、执法大队（日常管辖归属）</w:t>
      </w:r>
    </w:p>
    <w:p>
      <w:pPr>
        <w:spacing w:line="560" w:lineRule="exact"/>
        <w:ind w:firstLine="640" w:firstLineChars="200"/>
        <w:rPr>
          <w:b/>
        </w:rPr>
      </w:pPr>
      <w:r>
        <w:rPr>
          <w:rFonts w:hint="eastAsia"/>
        </w:rPr>
        <w:t>联系人：姚伟  咨询电话：59621021。</w:t>
      </w:r>
      <w:r>
        <w:rPr>
          <w:b/>
        </w:rPr>
        <w:br w:type="page"/>
      </w:r>
    </w:p>
    <w:p>
      <w:pPr>
        <w:pStyle w:val="2"/>
        <w:jc w:val="center"/>
        <w:rPr>
          <w:rFonts w:ascii="方正小标宋简体" w:eastAsia="方正小标宋简体"/>
          <w:b w:val="0"/>
          <w:sz w:val="44"/>
          <w:szCs w:val="44"/>
        </w:rPr>
      </w:pPr>
      <w:r>
        <w:rPr>
          <w:rFonts w:hint="eastAsia" w:ascii="方正小标宋简体" w:eastAsia="方正小标宋简体"/>
          <w:b w:val="0"/>
          <w:sz w:val="44"/>
          <w:szCs w:val="44"/>
        </w:rPr>
        <w:t>承 诺 书</w:t>
      </w:r>
    </w:p>
    <w:p/>
    <w:p>
      <w:pPr>
        <w:tabs>
          <w:tab w:val="left" w:pos="5940"/>
        </w:tabs>
        <w:ind w:firstLine="630"/>
      </w:pPr>
      <w:r>
        <w:rPr>
          <w:rFonts w:hint="eastAsia"/>
        </w:rPr>
        <w:t>本单位郑重承诺，申请</w:t>
      </w:r>
      <w:r>
        <w:rPr>
          <w:rFonts w:hint="eastAsia" w:hAnsi="Times New Roman" w:cs="Times New Roman"/>
        </w:rPr>
        <w:t>崇明区xxxxxx补贴</w:t>
      </w:r>
      <w:r>
        <w:rPr>
          <w:rFonts w:hint="eastAsia"/>
        </w:rPr>
        <w:t>所提交的材料真实、准确、可靠。本单位对其真实性负全部责任。</w:t>
      </w:r>
    </w:p>
    <w:p>
      <w:pPr>
        <w:ind w:firstLine="630"/>
      </w:pPr>
      <w:r>
        <w:rPr>
          <w:rFonts w:hint="eastAsia"/>
        </w:rPr>
        <w:t>特此承诺。</w:t>
      </w:r>
    </w:p>
    <w:p>
      <w:pPr>
        <w:ind w:firstLine="630"/>
        <w:rPr>
          <w:rFonts w:ascii="楷体" w:hAnsi="楷体" w:eastAsia="楷体"/>
          <w:b/>
          <w:sz w:val="28"/>
          <w:szCs w:val="28"/>
        </w:rPr>
      </w:pPr>
      <w:r>
        <w:rPr>
          <w:rFonts w:hint="eastAsia" w:ascii="楷体" w:hAnsi="楷体" w:eastAsia="楷体"/>
          <w:b/>
          <w:sz w:val="28"/>
          <w:szCs w:val="28"/>
        </w:rPr>
        <w:t>（以上为承诺书模板，请申报单位负责人参照模板内容手写并签字盖章）</w:t>
      </w:r>
    </w:p>
    <w:p>
      <w:pPr>
        <w:ind w:firstLine="630"/>
      </w:pPr>
    </w:p>
    <w:p>
      <w:pPr>
        <w:rPr>
          <w:u w:val="single"/>
        </w:rPr>
      </w:pPr>
      <w:r>
        <w:rPr>
          <w:rFonts w:hint="eastAsia"/>
          <w:u w:val="single"/>
        </w:rPr>
        <w:t xml:space="preserve">                                                      </w:t>
      </w:r>
    </w:p>
    <w:p>
      <w:pPr>
        <w:rPr>
          <w:u w:val="single"/>
        </w:rPr>
      </w:pPr>
      <w:r>
        <w:rPr>
          <w:rFonts w:hint="eastAsia"/>
          <w:u w:val="single"/>
        </w:rPr>
        <w:t xml:space="preserve">                                                      </w:t>
      </w:r>
    </w:p>
    <w:p>
      <w:pPr>
        <w:rPr>
          <w:u w:val="single"/>
        </w:rPr>
      </w:pPr>
      <w:r>
        <w:rPr>
          <w:rFonts w:hint="eastAsia"/>
          <w:u w:val="single"/>
        </w:rPr>
        <w:t xml:space="preserve">                                                      </w:t>
      </w:r>
    </w:p>
    <w:p>
      <w:pPr>
        <w:rPr>
          <w:u w:val="single"/>
        </w:rPr>
      </w:pPr>
      <w:r>
        <w:rPr>
          <w:rFonts w:hint="eastAsia"/>
          <w:u w:val="single"/>
        </w:rPr>
        <w:t xml:space="preserve">                                                      </w:t>
      </w:r>
    </w:p>
    <w:p>
      <w:pPr>
        <w:rPr>
          <w:u w:val="single"/>
        </w:rPr>
      </w:pPr>
      <w:r>
        <w:rPr>
          <w:rFonts w:hint="eastAsia"/>
          <w:u w:val="single"/>
        </w:rPr>
        <w:t xml:space="preserve">                                                      </w:t>
      </w:r>
    </w:p>
    <w:p>
      <w:pPr>
        <w:ind w:firstLine="630"/>
      </w:pPr>
      <w:r>
        <w:rPr>
          <w:rFonts w:hint="eastAsia"/>
        </w:rPr>
        <w:t xml:space="preserve">                  </w:t>
      </w:r>
    </w:p>
    <w:p>
      <w:pPr>
        <w:ind w:firstLine="630"/>
      </w:pPr>
      <w:r>
        <w:rPr>
          <w:rFonts w:hint="eastAsia"/>
        </w:rPr>
        <w:t xml:space="preserve">                  单位负责人签字：</w:t>
      </w:r>
      <w:r>
        <w:rPr>
          <w:rFonts w:hint="eastAsia"/>
          <w:u w:val="single"/>
        </w:rPr>
        <w:t xml:space="preserve">           </w:t>
      </w:r>
    </w:p>
    <w:p>
      <w:pPr>
        <w:ind w:firstLine="630"/>
      </w:pPr>
      <w:r>
        <w:rPr>
          <w:rFonts w:hint="eastAsia"/>
        </w:rPr>
        <w:t xml:space="preserve">                  （单位盖章）</w:t>
      </w:r>
    </w:p>
    <w:p>
      <w:pPr>
        <w:ind w:firstLine="630"/>
      </w:pPr>
      <w:r>
        <w:rPr>
          <w:rFonts w:hint="eastAsia"/>
        </w:rPr>
        <w:t xml:space="preserve">                  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pPr>
        <w:widowControl/>
        <w:jc w:val="left"/>
      </w:pPr>
      <w:r>
        <w:br w:type="page"/>
      </w:r>
    </w:p>
    <w:tbl>
      <w:tblPr>
        <w:tblStyle w:val="8"/>
        <w:tblW w:w="9087" w:type="dxa"/>
        <w:tblInd w:w="0" w:type="dxa"/>
        <w:tblLayout w:type="fixed"/>
        <w:tblCellMar>
          <w:top w:w="15" w:type="dxa"/>
          <w:left w:w="15" w:type="dxa"/>
          <w:bottom w:w="15" w:type="dxa"/>
          <w:right w:w="15" w:type="dxa"/>
        </w:tblCellMar>
      </w:tblPr>
      <w:tblGrid>
        <w:gridCol w:w="2000"/>
        <w:gridCol w:w="2693"/>
        <w:gridCol w:w="1843"/>
        <w:gridCol w:w="2551"/>
      </w:tblGrid>
      <w:tr>
        <w:tblPrEx>
          <w:tblLayout w:type="fixed"/>
          <w:tblCellMar>
            <w:top w:w="15" w:type="dxa"/>
            <w:left w:w="15" w:type="dxa"/>
            <w:bottom w:w="15" w:type="dxa"/>
            <w:right w:w="15" w:type="dxa"/>
          </w:tblCellMar>
        </w:tblPrEx>
        <w:trPr>
          <w:trHeight w:val="1120" w:hRule="atLeast"/>
        </w:trPr>
        <w:tc>
          <w:tcPr>
            <w:tcW w:w="9087" w:type="dxa"/>
            <w:gridSpan w:val="4"/>
            <w:shd w:val="clear" w:color="auto" w:fill="auto"/>
            <w:vAlign w:val="center"/>
          </w:tcPr>
          <w:p>
            <w:pPr>
              <w:widowControl/>
              <w:spacing w:line="360" w:lineRule="exact"/>
              <w:jc w:val="center"/>
              <w:textAlignment w:val="center"/>
              <w:rPr>
                <w:rFonts w:ascii="方正小标宋简体" w:hAnsi="方正小标宋简体" w:eastAsia="方正小标宋简体" w:cs="方正小标宋简体"/>
                <w:color w:val="000000"/>
                <w:sz w:val="40"/>
                <w:szCs w:val="40"/>
              </w:rPr>
            </w:pPr>
            <w:r>
              <w:rPr>
                <w:rFonts w:hint="eastAsia" w:ascii="方正小标宋简体" w:hAnsi="方正小标宋简体" w:eastAsia="方正小标宋简体" w:cs="方正小标宋简体"/>
                <w:color w:val="000000"/>
                <w:kern w:val="0"/>
                <w:sz w:val="36"/>
                <w:szCs w:val="36"/>
              </w:rPr>
              <w:t>崇明区进口冷链相关单位核酸检测费用补贴申请表</w:t>
            </w:r>
          </w:p>
        </w:tc>
      </w:tr>
      <w:tr>
        <w:tblPrEx>
          <w:tblLayout w:type="fixed"/>
          <w:tblCellMar>
            <w:top w:w="15" w:type="dxa"/>
            <w:left w:w="15" w:type="dxa"/>
            <w:bottom w:w="15" w:type="dxa"/>
            <w:right w:w="15" w:type="dxa"/>
          </w:tblCellMar>
        </w:tblPrEx>
        <w:trPr>
          <w:trHeight w:val="90"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Ansi="宋体"/>
                <w:color w:val="000000"/>
                <w:szCs w:val="21"/>
              </w:rPr>
            </w:pPr>
            <w:r>
              <w:rPr>
                <w:rFonts w:hint="eastAsia" w:hAnsi="宋体"/>
                <w:color w:val="000000"/>
                <w:kern w:val="0"/>
                <w:szCs w:val="21"/>
              </w:rPr>
              <w:t>一、项目信息</w:t>
            </w:r>
          </w:p>
        </w:tc>
      </w:tr>
      <w:tr>
        <w:tblPrEx>
          <w:tblLayout w:type="fixed"/>
          <w:tblCellMar>
            <w:top w:w="15" w:type="dxa"/>
            <w:left w:w="15" w:type="dxa"/>
            <w:bottom w:w="15" w:type="dxa"/>
            <w:right w:w="15" w:type="dxa"/>
          </w:tblCellMar>
        </w:tblPrEx>
        <w:trPr>
          <w:trHeight w:val="480"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单位名称</w:t>
            </w:r>
          </w:p>
        </w:tc>
        <w:tc>
          <w:tcPr>
            <w:tcW w:w="26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c>
          <w:tcPr>
            <w:tcW w:w="18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统一社会信用代码</w:t>
            </w:r>
          </w:p>
        </w:tc>
        <w:tc>
          <w:tcPr>
            <w:tcW w:w="25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r>
      <w:tr>
        <w:tblPrEx>
          <w:tblLayout w:type="fixed"/>
          <w:tblCellMar>
            <w:top w:w="15" w:type="dxa"/>
            <w:left w:w="15" w:type="dxa"/>
            <w:bottom w:w="15" w:type="dxa"/>
            <w:right w:w="15" w:type="dxa"/>
          </w:tblCellMar>
        </w:tblPrEx>
        <w:trPr>
          <w:trHeight w:val="480"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开户银行</w:t>
            </w:r>
          </w:p>
        </w:tc>
        <w:tc>
          <w:tcPr>
            <w:tcW w:w="26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c>
          <w:tcPr>
            <w:tcW w:w="18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银行账号</w:t>
            </w:r>
          </w:p>
        </w:tc>
        <w:tc>
          <w:tcPr>
            <w:tcW w:w="25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r>
      <w:tr>
        <w:tblPrEx>
          <w:tblLayout w:type="fixed"/>
          <w:tblCellMar>
            <w:top w:w="15" w:type="dxa"/>
            <w:left w:w="15" w:type="dxa"/>
            <w:bottom w:w="15" w:type="dxa"/>
            <w:right w:w="15" w:type="dxa"/>
          </w:tblCellMar>
        </w:tblPrEx>
        <w:trPr>
          <w:trHeight w:val="480"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单位负责人</w:t>
            </w:r>
          </w:p>
        </w:tc>
        <w:tc>
          <w:tcPr>
            <w:tcW w:w="26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c>
          <w:tcPr>
            <w:tcW w:w="18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联系手机</w:t>
            </w:r>
          </w:p>
        </w:tc>
        <w:tc>
          <w:tcPr>
            <w:tcW w:w="25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r>
      <w:tr>
        <w:tblPrEx>
          <w:tblLayout w:type="fixed"/>
          <w:tblCellMar>
            <w:top w:w="15" w:type="dxa"/>
            <w:left w:w="15" w:type="dxa"/>
            <w:bottom w:w="15" w:type="dxa"/>
            <w:right w:w="15" w:type="dxa"/>
          </w:tblCellMar>
        </w:tblPrEx>
        <w:trPr>
          <w:trHeight w:val="773"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Ansi="宋体"/>
                <w:color w:val="000000"/>
                <w:szCs w:val="21"/>
              </w:rPr>
            </w:pPr>
            <w:r>
              <w:rPr>
                <w:rFonts w:hint="eastAsia" w:hAnsi="宋体"/>
                <w:color w:val="000000"/>
                <w:kern w:val="0"/>
                <w:szCs w:val="21"/>
              </w:rPr>
              <w:t>进口冷链相关单位重点岗位人数</w:t>
            </w:r>
          </w:p>
        </w:tc>
        <w:tc>
          <w:tcPr>
            <w:tcW w:w="70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rPr>
                <w:rFonts w:hAnsi="宋体"/>
                <w:color w:val="000000"/>
                <w:szCs w:val="21"/>
              </w:rPr>
            </w:pPr>
          </w:p>
        </w:tc>
      </w:tr>
      <w:tr>
        <w:tblPrEx>
          <w:tblLayout w:type="fixed"/>
          <w:tblCellMar>
            <w:top w:w="15" w:type="dxa"/>
            <w:left w:w="15" w:type="dxa"/>
            <w:bottom w:w="15" w:type="dxa"/>
            <w:right w:w="15" w:type="dxa"/>
          </w:tblCellMar>
        </w:tblPrEx>
        <w:trPr>
          <w:trHeight w:val="813" w:hRule="atLeast"/>
        </w:trPr>
        <w:tc>
          <w:tcPr>
            <w:tcW w:w="20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Ansi="宋体"/>
                <w:color w:val="000000"/>
                <w:kern w:val="0"/>
                <w:szCs w:val="21"/>
              </w:rPr>
            </w:pPr>
            <w:r>
              <w:rPr>
                <w:rFonts w:hint="eastAsia" w:hAnsi="宋体"/>
                <w:color w:val="000000"/>
                <w:kern w:val="0"/>
                <w:szCs w:val="21"/>
              </w:rPr>
              <w:t>按要求开展重点岗位核酸检测频次及数量</w:t>
            </w:r>
          </w:p>
        </w:tc>
        <w:tc>
          <w:tcPr>
            <w:tcW w:w="70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rPr>
                <w:rFonts w:hAnsi="宋体"/>
                <w:color w:val="000000"/>
                <w:szCs w:val="21"/>
              </w:rPr>
            </w:pPr>
          </w:p>
        </w:tc>
      </w:tr>
      <w:tr>
        <w:tblPrEx>
          <w:tblLayout w:type="fixed"/>
          <w:tblCellMar>
            <w:top w:w="15" w:type="dxa"/>
            <w:left w:w="15" w:type="dxa"/>
            <w:bottom w:w="15" w:type="dxa"/>
            <w:right w:w="15" w:type="dxa"/>
          </w:tblCellMar>
        </w:tblPrEx>
        <w:trPr>
          <w:trHeight w:val="480" w:hRule="atLeast"/>
        </w:trPr>
        <w:tc>
          <w:tcPr>
            <w:tcW w:w="20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r>
              <w:rPr>
                <w:rFonts w:hint="eastAsia" w:hAnsi="宋体"/>
                <w:color w:val="000000"/>
                <w:szCs w:val="21"/>
              </w:rPr>
              <w:t>申请补贴金额（元）</w:t>
            </w:r>
          </w:p>
        </w:tc>
        <w:tc>
          <w:tcPr>
            <w:tcW w:w="708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rPr>
                <w:rFonts w:hAnsi="宋体"/>
                <w:color w:val="000000"/>
                <w:szCs w:val="21"/>
              </w:rPr>
            </w:pPr>
          </w:p>
        </w:tc>
      </w:tr>
      <w:tr>
        <w:tblPrEx>
          <w:tblLayout w:type="fixed"/>
          <w:tblCellMar>
            <w:top w:w="15" w:type="dxa"/>
            <w:left w:w="15" w:type="dxa"/>
            <w:bottom w:w="15" w:type="dxa"/>
            <w:right w:w="15" w:type="dxa"/>
          </w:tblCellMar>
        </w:tblPrEx>
        <w:trPr>
          <w:trHeight w:val="320" w:hRule="atLeast"/>
        </w:trPr>
        <w:tc>
          <w:tcPr>
            <w:tcW w:w="20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rPr>
                <w:rFonts w:hAnsi="宋体"/>
                <w:color w:val="000000"/>
                <w:szCs w:val="21"/>
              </w:rPr>
            </w:pPr>
          </w:p>
        </w:tc>
        <w:tc>
          <w:tcPr>
            <w:tcW w:w="708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rPr>
                <w:rFonts w:hAnsi="宋体"/>
                <w:color w:val="000000"/>
                <w:szCs w:val="21"/>
              </w:rPr>
            </w:pPr>
          </w:p>
        </w:tc>
      </w:tr>
      <w:tr>
        <w:tblPrEx>
          <w:tblLayout w:type="fixed"/>
          <w:tblCellMar>
            <w:top w:w="15" w:type="dxa"/>
            <w:left w:w="15" w:type="dxa"/>
            <w:bottom w:w="15" w:type="dxa"/>
            <w:right w:w="15" w:type="dxa"/>
          </w:tblCellMar>
        </w:tblPrEx>
        <w:trPr>
          <w:trHeight w:val="440"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Ansi="宋体"/>
                <w:color w:val="000000"/>
                <w:szCs w:val="21"/>
              </w:rPr>
            </w:pPr>
            <w:r>
              <w:rPr>
                <w:rFonts w:hint="eastAsia" w:hAnsi="宋体"/>
                <w:color w:val="000000"/>
                <w:kern w:val="0"/>
                <w:szCs w:val="21"/>
              </w:rPr>
              <w:t>二、申报单位意见</w:t>
            </w:r>
          </w:p>
        </w:tc>
      </w:tr>
      <w:tr>
        <w:tblPrEx>
          <w:tblLayout w:type="fixed"/>
          <w:tblCellMar>
            <w:top w:w="15" w:type="dxa"/>
            <w:left w:w="15" w:type="dxa"/>
            <w:bottom w:w="15" w:type="dxa"/>
            <w:right w:w="15" w:type="dxa"/>
          </w:tblCellMar>
        </w:tblPrEx>
        <w:trPr>
          <w:trHeight w:val="1325"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textAlignment w:val="top"/>
              <w:rPr>
                <w:rFonts w:hAnsi="宋体"/>
                <w:color w:val="000000"/>
                <w:szCs w:val="21"/>
              </w:rPr>
            </w:pPr>
            <w:r>
              <w:rPr>
                <w:rFonts w:hint="eastAsia" w:hAnsi="宋体"/>
                <w:color w:val="000000"/>
                <w:kern w:val="0"/>
                <w:szCs w:val="21"/>
              </w:rPr>
              <w:br w:type="textWrapping"/>
            </w:r>
            <w:r>
              <w:rPr>
                <w:rFonts w:hint="eastAsia" w:hAnsi="宋体"/>
                <w:color w:val="000000"/>
                <w:kern w:val="0"/>
                <w:szCs w:val="21"/>
              </w:rPr>
              <w:br w:type="textWrapping"/>
            </w:r>
            <w:r>
              <w:rPr>
                <w:rFonts w:hint="eastAsia" w:hAnsi="宋体"/>
                <w:color w:val="000000"/>
                <w:kern w:val="0"/>
                <w:szCs w:val="21"/>
              </w:rPr>
              <w:t>申报单位负责人（签章）：           项目单位（盖章）：</w:t>
            </w:r>
            <w:r>
              <w:rPr>
                <w:rFonts w:hint="eastAsia" w:hAnsi="宋体"/>
                <w:color w:val="000000"/>
                <w:kern w:val="0"/>
                <w:szCs w:val="21"/>
              </w:rPr>
              <w:br w:type="textWrapping"/>
            </w:r>
            <w:r>
              <w:rPr>
                <w:rFonts w:hint="eastAsia" w:hAnsi="宋体"/>
                <w:color w:val="000000"/>
                <w:kern w:val="0"/>
                <w:szCs w:val="21"/>
              </w:rPr>
              <w:t xml:space="preserve">                                                                            年  月  日</w:t>
            </w:r>
          </w:p>
        </w:tc>
      </w:tr>
      <w:tr>
        <w:tblPrEx>
          <w:tblLayout w:type="fixed"/>
          <w:tblCellMar>
            <w:top w:w="15" w:type="dxa"/>
            <w:left w:w="15" w:type="dxa"/>
            <w:bottom w:w="15" w:type="dxa"/>
            <w:right w:w="15" w:type="dxa"/>
          </w:tblCellMar>
        </w:tblPrEx>
        <w:trPr>
          <w:trHeight w:val="600"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Ansi="宋体"/>
                <w:color w:val="000000"/>
                <w:szCs w:val="21"/>
              </w:rPr>
            </w:pPr>
            <w:r>
              <w:rPr>
                <w:rFonts w:hint="eastAsia" w:hAnsi="宋体"/>
                <w:color w:val="000000"/>
                <w:kern w:val="0"/>
                <w:szCs w:val="21"/>
              </w:rPr>
              <w:t>三、认定部门意见</w:t>
            </w:r>
          </w:p>
        </w:tc>
      </w:tr>
      <w:tr>
        <w:tblPrEx>
          <w:tblLayout w:type="fixed"/>
          <w:tblCellMar>
            <w:top w:w="15" w:type="dxa"/>
            <w:left w:w="15" w:type="dxa"/>
            <w:bottom w:w="15" w:type="dxa"/>
            <w:right w:w="15" w:type="dxa"/>
          </w:tblCellMar>
        </w:tblPrEx>
        <w:trPr>
          <w:trHeight w:val="1319"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textAlignment w:val="top"/>
              <w:rPr>
                <w:rFonts w:hAnsi="宋体"/>
                <w:color w:val="000000"/>
                <w:szCs w:val="21"/>
              </w:rPr>
            </w:pPr>
            <w:r>
              <w:rPr>
                <w:rFonts w:hint="eastAsia" w:hAnsi="宋体"/>
                <w:color w:val="000000"/>
                <w:kern w:val="0"/>
                <w:szCs w:val="21"/>
              </w:rPr>
              <w:br w:type="textWrapping"/>
            </w:r>
            <w:r>
              <w:rPr>
                <w:rFonts w:hint="eastAsia" w:hAnsi="宋体"/>
                <w:color w:val="000000"/>
                <w:kern w:val="0"/>
                <w:szCs w:val="21"/>
              </w:rPr>
              <w:t>（盖章）：</w:t>
            </w:r>
            <w:r>
              <w:rPr>
                <w:rFonts w:hint="eastAsia" w:hAnsi="宋体"/>
                <w:color w:val="000000"/>
                <w:kern w:val="0"/>
                <w:szCs w:val="21"/>
              </w:rPr>
              <w:br w:type="textWrapping"/>
            </w:r>
            <w:r>
              <w:rPr>
                <w:rFonts w:hint="eastAsia" w:hAnsi="宋体"/>
                <w:color w:val="000000"/>
                <w:kern w:val="0"/>
                <w:szCs w:val="21"/>
              </w:rPr>
              <w:t xml:space="preserve">                                                                            年  月  日</w:t>
            </w:r>
          </w:p>
        </w:tc>
      </w:tr>
      <w:tr>
        <w:tblPrEx>
          <w:tblLayout w:type="fixed"/>
          <w:tblCellMar>
            <w:top w:w="15" w:type="dxa"/>
            <w:left w:w="15" w:type="dxa"/>
            <w:bottom w:w="15" w:type="dxa"/>
            <w:right w:w="15" w:type="dxa"/>
          </w:tblCellMar>
        </w:tblPrEx>
        <w:trPr>
          <w:trHeight w:val="600"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textAlignment w:val="center"/>
              <w:rPr>
                <w:rFonts w:hAnsi="宋体"/>
                <w:color w:val="000000"/>
                <w:szCs w:val="21"/>
              </w:rPr>
            </w:pPr>
            <w:r>
              <w:rPr>
                <w:rFonts w:hint="eastAsia" w:hAnsi="宋体"/>
                <w:color w:val="000000"/>
                <w:kern w:val="0"/>
                <w:szCs w:val="21"/>
              </w:rPr>
              <w:t>四、审批部门意见</w:t>
            </w:r>
          </w:p>
        </w:tc>
      </w:tr>
      <w:tr>
        <w:tblPrEx>
          <w:tblLayout w:type="fixed"/>
          <w:tblCellMar>
            <w:top w:w="15" w:type="dxa"/>
            <w:left w:w="15" w:type="dxa"/>
            <w:bottom w:w="15" w:type="dxa"/>
            <w:right w:w="15" w:type="dxa"/>
          </w:tblCellMar>
        </w:tblPrEx>
        <w:trPr>
          <w:trHeight w:val="825" w:hRule="atLeast"/>
        </w:trPr>
        <w:tc>
          <w:tcPr>
            <w:tcW w:w="9087" w:type="dxa"/>
            <w:gridSpan w:val="4"/>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textAlignment w:val="top"/>
              <w:rPr>
                <w:rFonts w:hAnsi="宋体"/>
                <w:color w:val="000000"/>
                <w:szCs w:val="21"/>
              </w:rPr>
            </w:pPr>
            <w:r>
              <w:rPr>
                <w:rFonts w:hint="eastAsia" w:hAnsi="宋体"/>
                <w:color w:val="000000"/>
                <w:kern w:val="0"/>
                <w:szCs w:val="21"/>
              </w:rPr>
              <w:br w:type="textWrapping"/>
            </w:r>
            <w:r>
              <w:rPr>
                <w:rFonts w:hint="eastAsia" w:hAnsi="宋体"/>
                <w:color w:val="000000"/>
                <w:kern w:val="0"/>
                <w:szCs w:val="21"/>
              </w:rPr>
              <w:br w:type="textWrapping"/>
            </w:r>
            <w:r>
              <w:rPr>
                <w:rFonts w:hint="eastAsia" w:hAnsi="宋体"/>
                <w:color w:val="000000"/>
                <w:kern w:val="0"/>
                <w:szCs w:val="21"/>
              </w:rPr>
              <w:t>（盖章）：</w:t>
            </w:r>
            <w:r>
              <w:rPr>
                <w:rFonts w:hint="eastAsia" w:hAnsi="宋体"/>
                <w:color w:val="000000"/>
                <w:kern w:val="0"/>
                <w:szCs w:val="21"/>
              </w:rPr>
              <w:br w:type="textWrapping"/>
            </w:r>
            <w:r>
              <w:rPr>
                <w:rFonts w:hint="eastAsia" w:hAnsi="宋体"/>
                <w:color w:val="000000"/>
                <w:kern w:val="0"/>
                <w:szCs w:val="21"/>
              </w:rPr>
              <w:t xml:space="preserve">                                                                            年  月  日</w:t>
            </w:r>
          </w:p>
        </w:tc>
      </w:tr>
    </w:tbl>
    <w:p>
      <w:pPr>
        <w:rPr>
          <w:rFonts w:ascii="黑体" w:hAnsi="黑体" w:eastAsia="黑体"/>
        </w:rPr>
      </w:pPr>
      <w:r>
        <w:rPr>
          <w:rFonts w:hint="eastAsia" w:ascii="黑体" w:hAnsi="黑体" w:eastAsia="黑体"/>
        </w:rPr>
        <w:t>附件2</w:t>
      </w:r>
    </w:p>
    <w:p>
      <w:pPr>
        <w:spacing w:line="600" w:lineRule="exact"/>
        <w:jc w:val="center"/>
        <w:rPr>
          <w:rFonts w:ascii="方正小标宋简体" w:hAnsi="方正小标宋_GBK" w:eastAsia="方正小标宋简体" w:cs="方正小标宋_GBK"/>
          <w:sz w:val="36"/>
          <w:szCs w:val="36"/>
        </w:rPr>
      </w:pPr>
      <w:r>
        <w:rPr>
          <w:rFonts w:hint="eastAsia" w:ascii="方正小标宋简体" w:hAnsi="方正小标宋_GBK" w:eastAsia="方正小标宋简体" w:cs="方正小标宋_GBK"/>
          <w:sz w:val="36"/>
          <w:szCs w:val="36"/>
        </w:rPr>
        <w:t>崇明区执行本市阶段性降低特种设备检验检测收费</w:t>
      </w:r>
    </w:p>
    <w:p>
      <w:pPr>
        <w:spacing w:line="600" w:lineRule="exact"/>
        <w:jc w:val="center"/>
        <w:rPr>
          <w:rFonts w:ascii="方正小标宋简体" w:hAnsi="方正小标宋_GBK" w:eastAsia="方正小标宋简体" w:cs="方正小标宋_GBK"/>
          <w:sz w:val="36"/>
          <w:szCs w:val="36"/>
        </w:rPr>
      </w:pPr>
      <w:r>
        <w:rPr>
          <w:rFonts w:hint="eastAsia" w:ascii="方正小标宋简体" w:hAnsi="方正小标宋_GBK" w:eastAsia="方正小标宋简体" w:cs="方正小标宋_GBK"/>
          <w:sz w:val="36"/>
          <w:szCs w:val="36"/>
        </w:rPr>
        <w:t>标准操作办法</w:t>
      </w:r>
    </w:p>
    <w:p>
      <w:pPr>
        <w:spacing w:line="560" w:lineRule="exact"/>
      </w:pPr>
    </w:p>
    <w:p>
      <w:pPr>
        <w:spacing w:line="560" w:lineRule="exact"/>
        <w:ind w:firstLine="640" w:firstLineChars="200"/>
        <w:rPr>
          <w:rFonts w:ascii="黑体" w:hAnsi="黑体" w:eastAsia="黑体"/>
        </w:rPr>
      </w:pPr>
      <w:r>
        <w:rPr>
          <w:rFonts w:hint="eastAsia" w:ascii="黑体" w:hAnsi="黑体" w:eastAsia="黑体"/>
        </w:rPr>
        <w:t>一、条款内容</w:t>
      </w:r>
    </w:p>
    <w:p>
      <w:pPr>
        <w:spacing w:line="560" w:lineRule="exact"/>
        <w:ind w:firstLine="640" w:firstLineChars="200"/>
      </w:pPr>
      <w:r>
        <w:rPr>
          <w:rFonts w:hint="eastAsia"/>
        </w:rPr>
        <w:t>在《崇明区加快经济恢复和重振实施方案》第（三）条“减免企业费用”中，2022年4月至12月，特种设备检验检测行政事业性收费标准降至现行标准50%。</w:t>
      </w:r>
    </w:p>
    <w:p>
      <w:pPr>
        <w:spacing w:line="560" w:lineRule="exact"/>
        <w:ind w:firstLine="640" w:firstLineChars="200"/>
        <w:rPr>
          <w:rFonts w:ascii="黑体" w:hAnsi="黑体" w:eastAsia="黑体"/>
        </w:rPr>
      </w:pPr>
      <w:r>
        <w:rPr>
          <w:rFonts w:hint="eastAsia" w:ascii="黑体" w:hAnsi="黑体" w:eastAsia="黑体"/>
        </w:rPr>
        <w:t>二、执行期限</w:t>
      </w:r>
    </w:p>
    <w:p>
      <w:pPr>
        <w:spacing w:line="560" w:lineRule="exact"/>
        <w:ind w:firstLine="640" w:firstLineChars="200"/>
      </w:pPr>
      <w:r>
        <w:rPr>
          <w:rFonts w:hint="eastAsia"/>
        </w:rPr>
        <w:t>2022年4月1日至2022年12月31日。</w:t>
      </w:r>
    </w:p>
    <w:p>
      <w:pPr>
        <w:spacing w:line="560" w:lineRule="exact"/>
        <w:ind w:firstLine="640" w:firstLineChars="200"/>
        <w:rPr>
          <w:rFonts w:ascii="黑体" w:hAnsi="黑体" w:eastAsia="黑体"/>
        </w:rPr>
      </w:pPr>
      <w:r>
        <w:rPr>
          <w:rFonts w:hint="eastAsia" w:ascii="黑体" w:hAnsi="黑体" w:eastAsia="黑体"/>
        </w:rPr>
        <w:t>三、具体内容</w:t>
      </w:r>
    </w:p>
    <w:p>
      <w:pPr>
        <w:spacing w:line="560" w:lineRule="exact"/>
        <w:ind w:firstLine="640" w:firstLineChars="200"/>
        <w:rPr>
          <w:rFonts w:ascii="楷体" w:hAnsi="楷体" w:eastAsia="楷体"/>
        </w:rPr>
      </w:pPr>
      <w:r>
        <w:rPr>
          <w:rFonts w:hint="eastAsia" w:ascii="楷体" w:hAnsi="楷体" w:eastAsia="楷体"/>
        </w:rPr>
        <w:t>（一）支持对象</w:t>
      </w:r>
    </w:p>
    <w:p>
      <w:pPr>
        <w:spacing w:line="560" w:lineRule="exact"/>
        <w:ind w:firstLine="640" w:firstLineChars="200"/>
      </w:pPr>
      <w:r>
        <w:rPr>
          <w:rFonts w:hint="eastAsia"/>
        </w:rPr>
        <w:t>上海市崇明区特种设备监督检验所依法受理并对之开展法定检验的行政事业性收费缴款单位（含个人）。</w:t>
      </w:r>
    </w:p>
    <w:p>
      <w:pPr>
        <w:spacing w:line="560" w:lineRule="exact"/>
        <w:ind w:firstLine="640" w:firstLineChars="200"/>
        <w:rPr>
          <w:rFonts w:ascii="楷体" w:hAnsi="楷体" w:eastAsia="楷体"/>
        </w:rPr>
      </w:pPr>
      <w:r>
        <w:rPr>
          <w:rFonts w:hint="eastAsia" w:ascii="楷体" w:hAnsi="楷体" w:eastAsia="楷体"/>
        </w:rPr>
        <w:t>（二）支持范围</w:t>
      </w:r>
    </w:p>
    <w:p>
      <w:pPr>
        <w:spacing w:line="560" w:lineRule="exact"/>
        <w:ind w:firstLine="640" w:firstLineChars="200"/>
      </w:pPr>
      <w:r>
        <w:rPr>
          <w:rFonts w:hint="eastAsia"/>
        </w:rPr>
        <w:t>《关于本市市场监督管理系统特种设备检验检测收费管理有关问题的通知》（沪发改价费〔2019〕4号）所规定的，且在国家核准检验项目范围内的锅炉、压力容器、压力管道、电梯、起重机械、场（厂）内专用机动车辆等特种设备的监督检验、定期检验等法定特种设备检验检测内容，均纳入本次降费范围。</w:t>
      </w:r>
    </w:p>
    <w:p>
      <w:pPr>
        <w:spacing w:line="560" w:lineRule="exact"/>
        <w:ind w:firstLine="640" w:firstLineChars="200"/>
        <w:rPr>
          <w:rFonts w:ascii="楷体" w:hAnsi="楷体" w:eastAsia="楷体"/>
        </w:rPr>
      </w:pPr>
      <w:r>
        <w:rPr>
          <w:rFonts w:hint="eastAsia" w:ascii="楷体" w:hAnsi="楷体" w:eastAsia="楷体"/>
        </w:rPr>
        <w:t>（三）支持内容</w:t>
      </w:r>
    </w:p>
    <w:p>
      <w:pPr>
        <w:spacing w:line="560" w:lineRule="exact"/>
        <w:ind w:firstLine="640" w:firstLineChars="200"/>
      </w:pPr>
      <w:r>
        <w:rPr>
          <w:rFonts w:hint="eastAsia"/>
        </w:rPr>
        <w:t>符合下列情形之一的，特种设备检验检测行政事业性收费标准阶段性降低至现行标准的50%：</w:t>
      </w:r>
    </w:p>
    <w:p>
      <w:pPr>
        <w:numPr>
          <w:ilvl w:val="255"/>
          <w:numId w:val="0"/>
        </w:numPr>
        <w:spacing w:line="560" w:lineRule="exact"/>
        <w:ind w:firstLine="640" w:firstLineChars="200"/>
      </w:pPr>
      <w:r>
        <w:rPr>
          <w:rFonts w:hint="eastAsia"/>
        </w:rPr>
        <w:t>1.下次检验日期在2022年4月1日至2022年12月31日，且于2022年12月31日前报检并受理的定期检验（含2022年4月1日前已经完成检验的）；</w:t>
      </w:r>
    </w:p>
    <w:p>
      <w:pPr>
        <w:numPr>
          <w:ilvl w:val="255"/>
          <w:numId w:val="0"/>
        </w:numPr>
        <w:spacing w:line="560" w:lineRule="exact"/>
        <w:ind w:firstLine="640" w:firstLineChars="200"/>
      </w:pPr>
      <w:r>
        <w:rPr>
          <w:rFonts w:hint="eastAsia"/>
        </w:rPr>
        <w:t>2.下次检验日期在2022年4月1日之前，并在2022年4月1日至2022年12月31日内报检并受理的定期检验；</w:t>
      </w:r>
    </w:p>
    <w:p>
      <w:pPr>
        <w:numPr>
          <w:ilvl w:val="255"/>
          <w:numId w:val="0"/>
        </w:numPr>
        <w:spacing w:line="560" w:lineRule="exact"/>
        <w:ind w:firstLine="640" w:firstLineChars="200"/>
        <w:rPr>
          <w:lang w:val="en-IE"/>
        </w:rPr>
      </w:pPr>
      <w:r>
        <w:rPr>
          <w:rFonts w:hint="eastAsia"/>
        </w:rPr>
        <w:t>3.2022年4月1日之前未完成检验（即未出具检验报告的），需要2022年4月1日之后继续开展检验的</w:t>
      </w:r>
      <w:r>
        <w:rPr>
          <w:rFonts w:hint="eastAsia"/>
          <w:lang w:val="en-IE"/>
        </w:rPr>
        <w:t>;</w:t>
      </w:r>
    </w:p>
    <w:p>
      <w:pPr>
        <w:numPr>
          <w:ilvl w:val="255"/>
          <w:numId w:val="0"/>
        </w:numPr>
        <w:spacing w:line="560" w:lineRule="exact"/>
        <w:ind w:firstLine="640" w:firstLineChars="200"/>
      </w:pPr>
      <w:r>
        <w:rPr>
          <w:rFonts w:hint="eastAsia"/>
        </w:rPr>
        <w:t>4.2022年4月1日至2022年12月31日，受理且已实施安装或投料生产的监督检验；</w:t>
      </w:r>
    </w:p>
    <w:p>
      <w:pPr>
        <w:spacing w:line="560" w:lineRule="exact"/>
        <w:ind w:firstLine="640" w:firstLineChars="200"/>
        <w:rPr>
          <w:lang w:val="en-IE"/>
        </w:rPr>
      </w:pPr>
      <w:r>
        <w:rPr>
          <w:rFonts w:hint="eastAsia"/>
        </w:rPr>
        <w:t>5.2022年4月1日至2022年12月31日，受理的首次法定检验</w:t>
      </w:r>
      <w:r>
        <w:rPr>
          <w:rFonts w:hint="eastAsia"/>
          <w:lang w:val="en-IE"/>
        </w:rPr>
        <w:t>。</w:t>
      </w:r>
    </w:p>
    <w:p>
      <w:pPr>
        <w:spacing w:line="560" w:lineRule="exact"/>
        <w:ind w:firstLine="640" w:firstLineChars="200"/>
        <w:rPr>
          <w:rFonts w:ascii="黑体" w:hAnsi="黑体" w:eastAsia="黑体"/>
        </w:rPr>
      </w:pPr>
      <w:r>
        <w:rPr>
          <w:rFonts w:hint="eastAsia" w:ascii="黑体" w:hAnsi="黑体" w:eastAsia="黑体"/>
          <w:lang w:val="en-IE"/>
        </w:rPr>
        <w:t>四、</w:t>
      </w:r>
      <w:r>
        <w:rPr>
          <w:rFonts w:hint="eastAsia" w:ascii="黑体" w:hAnsi="黑体" w:eastAsia="黑体"/>
        </w:rPr>
        <w:t>办理方式</w:t>
      </w:r>
    </w:p>
    <w:p>
      <w:pPr>
        <w:spacing w:line="560" w:lineRule="exact"/>
        <w:ind w:firstLine="640" w:firstLineChars="200"/>
      </w:pPr>
      <w:r>
        <w:rPr>
          <w:rFonts w:hint="eastAsia"/>
        </w:rPr>
        <w:t>特种设备使用单位按正常流程申报检验，无需提交任何费用减免申请，即可享受。</w:t>
      </w:r>
    </w:p>
    <w:p>
      <w:pPr>
        <w:spacing w:line="560" w:lineRule="exact"/>
        <w:ind w:firstLine="640" w:firstLineChars="200"/>
        <w:rPr>
          <w:rFonts w:ascii="黑体" w:hAnsi="黑体" w:eastAsia="黑体"/>
        </w:rPr>
      </w:pPr>
      <w:r>
        <w:rPr>
          <w:rFonts w:hint="eastAsia" w:ascii="黑体" w:hAnsi="黑体" w:eastAsia="黑体"/>
        </w:rPr>
        <w:t>五、联系方式</w:t>
      </w:r>
    </w:p>
    <w:p>
      <w:pPr>
        <w:spacing w:line="560" w:lineRule="exact"/>
        <w:ind w:firstLine="640" w:firstLineChars="200"/>
        <w:rPr>
          <w:rFonts w:hAnsi="黑体"/>
        </w:rPr>
      </w:pPr>
      <w:r>
        <w:rPr>
          <w:rFonts w:hint="eastAsia" w:hAnsi="黑体"/>
        </w:rPr>
        <w:t>本操作办法由上海市崇明区市场监督管理局负责解释。</w:t>
      </w:r>
    </w:p>
    <w:p>
      <w:pPr>
        <w:spacing w:line="560" w:lineRule="exact"/>
        <w:ind w:firstLine="640" w:firstLineChars="200"/>
        <w:rPr>
          <w:rFonts w:hAnsi="黑体"/>
        </w:rPr>
      </w:pPr>
      <w:r>
        <w:rPr>
          <w:rFonts w:hint="eastAsia" w:hAnsi="黑体"/>
        </w:rPr>
        <w:t>受理地址：崇明区城桥镇一江山路501号</w:t>
      </w:r>
    </w:p>
    <w:p>
      <w:pPr>
        <w:ind w:firstLine="640" w:firstLineChars="200"/>
        <w:rPr>
          <w:rFonts w:hAnsi="黑体"/>
        </w:rPr>
      </w:pPr>
      <w:r>
        <w:rPr>
          <w:rFonts w:hint="eastAsia" w:hAnsi="黑体"/>
        </w:rPr>
        <w:t>联系人：黄立坚    咨询电话：69612587</w:t>
      </w:r>
    </w:p>
    <w:p/>
    <w:p>
      <w:pPr>
        <w:rPr>
          <w:rFonts w:hint="eastAsia"/>
        </w:rPr>
      </w:pPr>
    </w:p>
    <w:p>
      <w:pPr>
        <w:rPr>
          <w:rFonts w:hint="eastAsia"/>
        </w:rPr>
      </w:pPr>
    </w:p>
    <w:p>
      <w:pPr>
        <w:rPr>
          <w:rFonts w:hint="eastAsia"/>
        </w:rPr>
      </w:pPr>
    </w:p>
    <w:p/>
    <w:p>
      <w:pPr>
        <w:rPr>
          <w:rFonts w:ascii="黑体" w:hAnsi="黑体" w:eastAsia="黑体"/>
        </w:rPr>
      </w:pPr>
      <w:r>
        <w:rPr>
          <w:rFonts w:hint="eastAsia" w:ascii="黑体" w:hAnsi="黑体" w:eastAsia="黑体"/>
        </w:rPr>
        <w:t>附件3</w:t>
      </w:r>
    </w:p>
    <w:p>
      <w:pPr>
        <w:spacing w:line="60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崇明区支持企业信用修复操作办法</w:t>
      </w:r>
    </w:p>
    <w:p>
      <w:pPr>
        <w:ind w:firstLine="640" w:firstLineChars="200"/>
        <w:rPr>
          <w:rFonts w:ascii="黑体" w:hAnsi="黑体" w:eastAsia="黑体" w:cs="黑体"/>
        </w:rPr>
      </w:pPr>
    </w:p>
    <w:p>
      <w:pPr>
        <w:spacing w:line="560" w:lineRule="exact"/>
        <w:ind w:firstLine="640" w:firstLineChars="200"/>
        <w:rPr>
          <w:rFonts w:ascii="黑体" w:hAnsi="黑体" w:eastAsia="黑体" w:cs="黑体"/>
        </w:rPr>
      </w:pPr>
      <w:r>
        <w:rPr>
          <w:rFonts w:hint="eastAsia" w:ascii="黑体" w:hAnsi="黑体" w:eastAsia="黑体" w:cs="黑体"/>
        </w:rPr>
        <w:t>一、条款内容</w:t>
      </w:r>
    </w:p>
    <w:p>
      <w:pPr>
        <w:spacing w:line="560" w:lineRule="exact"/>
        <w:ind w:firstLine="640" w:firstLineChars="200"/>
      </w:pPr>
      <w:r>
        <w:rPr>
          <w:rFonts w:hint="eastAsia"/>
        </w:rPr>
        <w:t>在《崇明区加快经济恢复和重振实施方案》第（十九）条“优化营商环境”中，积极协助企业和个人开展信用修复工作。</w:t>
      </w:r>
    </w:p>
    <w:p>
      <w:pPr>
        <w:spacing w:line="560" w:lineRule="exact"/>
        <w:ind w:firstLine="640" w:firstLineChars="200"/>
        <w:rPr>
          <w:rFonts w:ascii="黑体" w:hAnsi="黑体" w:eastAsia="黑体" w:cs="黑体"/>
        </w:rPr>
      </w:pPr>
      <w:r>
        <w:rPr>
          <w:rFonts w:hint="eastAsia" w:ascii="黑体" w:hAnsi="黑体" w:eastAsia="黑体" w:cs="黑体"/>
        </w:rPr>
        <w:t>二、执行期限</w:t>
      </w:r>
    </w:p>
    <w:p>
      <w:pPr>
        <w:spacing w:line="560" w:lineRule="exact"/>
        <w:ind w:firstLine="640" w:firstLineChars="200"/>
      </w:pPr>
      <w:r>
        <w:rPr>
          <w:rFonts w:hint="eastAsia"/>
        </w:rPr>
        <w:t>2022年4月1日至2022年12月31日。</w:t>
      </w:r>
    </w:p>
    <w:p>
      <w:pPr>
        <w:spacing w:line="560" w:lineRule="exact"/>
        <w:ind w:firstLine="640" w:firstLineChars="200"/>
        <w:rPr>
          <w:rFonts w:ascii="黑体" w:hAnsi="黑体" w:eastAsia="黑体" w:cs="黑体"/>
        </w:rPr>
      </w:pPr>
      <w:r>
        <w:rPr>
          <w:rFonts w:hint="eastAsia" w:ascii="黑体" w:hAnsi="黑体" w:eastAsia="黑体" w:cs="黑体"/>
        </w:rPr>
        <w:t>三、具体内容</w:t>
      </w:r>
    </w:p>
    <w:p>
      <w:pPr>
        <w:spacing w:line="560" w:lineRule="exact"/>
        <w:ind w:firstLine="640" w:firstLineChars="200"/>
        <w:rPr>
          <w:rFonts w:ascii="楷体" w:hAnsi="楷体" w:eastAsia="楷体"/>
        </w:rPr>
      </w:pPr>
      <w:r>
        <w:rPr>
          <w:rFonts w:hint="eastAsia" w:ascii="楷体" w:hAnsi="楷体" w:eastAsia="楷体"/>
        </w:rPr>
        <w:t>（一）支持对象</w:t>
      </w:r>
    </w:p>
    <w:p>
      <w:pPr>
        <w:spacing w:line="560" w:lineRule="exact"/>
        <w:ind w:firstLine="640" w:firstLineChars="200"/>
      </w:pPr>
      <w:r>
        <w:rPr>
          <w:rFonts w:hint="eastAsia"/>
        </w:rPr>
        <w:t>各类市场主体。</w:t>
      </w:r>
    </w:p>
    <w:p>
      <w:pPr>
        <w:spacing w:line="560" w:lineRule="exact"/>
        <w:ind w:firstLine="640" w:firstLineChars="200"/>
        <w:rPr>
          <w:rFonts w:ascii="楷体" w:hAnsi="楷体" w:eastAsia="楷体"/>
        </w:rPr>
      </w:pPr>
      <w:r>
        <w:rPr>
          <w:rFonts w:hint="eastAsia" w:ascii="楷体" w:hAnsi="楷体" w:eastAsia="楷体"/>
        </w:rPr>
        <w:t>（二）支持内容</w:t>
      </w:r>
    </w:p>
    <w:p>
      <w:pPr>
        <w:spacing w:line="560" w:lineRule="exact"/>
        <w:ind w:firstLine="640" w:firstLineChars="200"/>
      </w:pPr>
      <w:r>
        <w:rPr>
          <w:rFonts w:hint="eastAsia"/>
        </w:rPr>
        <w:t>支持经营异常名录企业信用修复。企业依法履行相关信息公示义务、更正其公示的错误信息、依法办理住所（经营场所）变更登记或通过登记的住所（经营场所）可以重新取得联系的，支持其通过国家企业信用信息公示系统申请信用修复，移出经营异常名录。</w:t>
      </w:r>
    </w:p>
    <w:p>
      <w:pPr>
        <w:spacing w:line="560" w:lineRule="exact"/>
        <w:ind w:firstLine="640" w:firstLineChars="200"/>
      </w:pPr>
      <w:r>
        <w:rPr>
          <w:rFonts w:hint="eastAsia"/>
        </w:rPr>
        <w:t>支持严重违法失信名单企业信用修复。除依照法律、行政法规规定实施相应管理措施期限尚未届满以外，对被列入严重违法失信名单满1年，且已履行行政处罚决定中规定的义务、主动消除危害后果和不良影响、未再受到市场监管部门较重行政处罚的企业，指导支持其通过国家企业信用信息公示系统申请信用修复，并及时将符合条件的企业移出严重违法失信名单，解除信用约束措施。</w:t>
      </w:r>
    </w:p>
    <w:p>
      <w:pPr>
        <w:spacing w:line="560" w:lineRule="exact"/>
        <w:ind w:firstLine="640" w:firstLineChars="200"/>
      </w:pPr>
      <w:r>
        <w:rPr>
          <w:rFonts w:hint="eastAsia"/>
        </w:rPr>
        <w:t>支持行政处罚公示信息修复。合理缩短行政处罚信息公示期，对仅受到警告的行政处罚信息不予公示；对受到通报批评或者较低数额罚款的行政处罚信息公示，满3个月即不再公示；对其他行政处罚信息公示满6个月（其中食品、药品、特种设备领域行政处罚信息公示满1年）且符合一定条件的企业，支持其通过国家企业信用信息公示系统申请信用修复。</w:t>
      </w:r>
    </w:p>
    <w:p>
      <w:pPr>
        <w:spacing w:line="560" w:lineRule="exact"/>
        <w:ind w:firstLine="640" w:firstLineChars="200"/>
      </w:pPr>
      <w:r>
        <w:rPr>
          <w:rFonts w:hint="eastAsia"/>
        </w:rPr>
        <w:t>支持企业多平台信用“一键修复”。加强政府部门信用修复工作协同，行政处罚信息信用修复申请人只需向国家企业信用信息公示系统或信用中国（上海）网站提交一次申请，符合修复条件的，两个平台同步停止公示行政处罚信息。</w:t>
      </w:r>
    </w:p>
    <w:p>
      <w:pPr>
        <w:spacing w:line="560" w:lineRule="exact"/>
        <w:ind w:firstLine="640" w:firstLineChars="200"/>
      </w:pPr>
      <w:r>
        <w:rPr>
          <w:rFonts w:hint="eastAsia"/>
        </w:rPr>
        <w:t>建立企业年度报告免责机制。完善市场主体公示信息异议处置和举报核查机制，市场主体公示信息存在轻微差异、有证据足以证明没有主观过错，能够提供合理解释说明的，允许市场主体修改公示内容，不将其列入经营异常名录。</w:t>
      </w:r>
    </w:p>
    <w:p>
      <w:pPr>
        <w:spacing w:line="560" w:lineRule="exact"/>
        <w:ind w:firstLine="640" w:firstLineChars="200"/>
        <w:rPr>
          <w:rFonts w:ascii="黑体" w:hAnsi="黑体" w:eastAsia="黑体" w:cs="黑体"/>
        </w:rPr>
      </w:pPr>
      <w:r>
        <w:rPr>
          <w:rFonts w:hint="eastAsia" w:ascii="黑体" w:hAnsi="黑体" w:eastAsia="黑体" w:cs="黑体"/>
        </w:rPr>
        <w:t>四、申请方式和所需材料</w:t>
      </w:r>
    </w:p>
    <w:p>
      <w:pPr>
        <w:spacing w:line="560" w:lineRule="exact"/>
        <w:ind w:firstLine="640" w:firstLineChars="200"/>
      </w:pPr>
      <w:r>
        <w:rPr>
          <w:rFonts w:hint="eastAsia"/>
        </w:rPr>
        <w:t>登录国家企业信用信息公示系统（上海）线上申请或至各市场监督管理所线下申请，根据不同修复情形提交《信用修复申请书》《守信承诺书》等材料，详见国家企业信用信息公示系统（上海）公示的《信用修复操作指南》。</w:t>
      </w:r>
    </w:p>
    <w:p>
      <w:pPr>
        <w:spacing w:line="560" w:lineRule="exact"/>
        <w:ind w:firstLine="640" w:firstLineChars="200"/>
        <w:rPr>
          <w:rFonts w:ascii="黑体" w:hAnsi="黑体" w:eastAsia="黑体" w:cs="黑体"/>
        </w:rPr>
      </w:pPr>
      <w:r>
        <w:rPr>
          <w:rFonts w:hint="eastAsia" w:ascii="黑体" w:hAnsi="黑体" w:eastAsia="黑体" w:cs="黑体"/>
        </w:rPr>
        <w:t>五、办理路径</w:t>
      </w:r>
    </w:p>
    <w:p>
      <w:pPr>
        <w:spacing w:line="560" w:lineRule="exact"/>
        <w:ind w:firstLine="640" w:firstLineChars="200"/>
      </w:pPr>
      <w:r>
        <w:rPr>
          <w:rFonts w:hint="eastAsia"/>
        </w:rPr>
        <w:t>全程网办或线下直接递交纸质材料。</w:t>
      </w:r>
    </w:p>
    <w:p>
      <w:pPr>
        <w:spacing w:line="560" w:lineRule="exact"/>
        <w:ind w:firstLine="640" w:firstLineChars="200"/>
        <w:rPr>
          <w:rFonts w:ascii="黑体" w:hAnsi="黑体" w:eastAsia="黑体" w:cs="黑体"/>
        </w:rPr>
      </w:pPr>
      <w:r>
        <w:rPr>
          <w:rFonts w:hint="eastAsia" w:ascii="黑体" w:hAnsi="黑体" w:eastAsia="黑体" w:cs="黑体"/>
        </w:rPr>
        <w:t>六、联系方式</w:t>
      </w:r>
    </w:p>
    <w:p>
      <w:pPr>
        <w:spacing w:line="560" w:lineRule="exact"/>
        <w:ind w:firstLine="640" w:firstLineChars="200"/>
        <w:jc w:val="left"/>
      </w:pPr>
      <w:r>
        <w:rPr>
          <w:rFonts w:hint="eastAsia"/>
        </w:rPr>
        <w:t>本操作办法由上海市崇明区市场监督管理局负责解释。</w:t>
      </w:r>
    </w:p>
    <w:p>
      <w:pPr>
        <w:spacing w:line="560" w:lineRule="exact"/>
        <w:ind w:firstLine="640" w:firstLineChars="200"/>
        <w:jc w:val="left"/>
      </w:pPr>
      <w:r>
        <w:rPr>
          <w:rFonts w:hint="eastAsia"/>
        </w:rPr>
        <w:t>受理地址：各市场监督管理所</w:t>
      </w:r>
    </w:p>
    <w:p>
      <w:pPr>
        <w:spacing w:line="560" w:lineRule="exact"/>
        <w:ind w:firstLine="640" w:firstLineChars="200"/>
      </w:pPr>
      <w:r>
        <w:rPr>
          <w:rFonts w:hint="eastAsia"/>
        </w:rPr>
        <w:t>联系人：陈靖翀      电话：59621039</w:t>
      </w:r>
    </w:p>
    <w:p/>
    <w:p/>
    <w:p/>
    <w:p/>
    <w:p/>
    <w:p/>
    <w:p/>
    <w:p/>
    <w:p/>
    <w:p/>
    <w:p/>
    <w:p/>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Pr>
        <w:rPr>
          <w:rFonts w:ascii="黑体" w:hAnsi="黑体" w:eastAsia="黑体"/>
        </w:rPr>
      </w:pPr>
      <w:r>
        <w:rPr>
          <w:rFonts w:hint="eastAsia" w:ascii="黑体" w:hAnsi="黑体" w:eastAsia="黑体"/>
        </w:rPr>
        <w:t>附件4</w:t>
      </w:r>
    </w:p>
    <w:p>
      <w:pPr>
        <w:spacing w:line="60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崇明区便利登记服务操作办法</w:t>
      </w:r>
    </w:p>
    <w:p>
      <w:pPr>
        <w:ind w:firstLine="640" w:firstLineChars="200"/>
        <w:rPr>
          <w:rFonts w:ascii="黑体" w:hAnsi="黑体" w:eastAsia="黑体" w:cs="黑体"/>
        </w:rPr>
      </w:pPr>
    </w:p>
    <w:p>
      <w:pPr>
        <w:spacing w:line="560" w:lineRule="exact"/>
        <w:ind w:firstLine="640" w:firstLineChars="200"/>
        <w:rPr>
          <w:rFonts w:ascii="黑体" w:hAnsi="黑体" w:eastAsia="黑体" w:cs="黑体"/>
          <w:b/>
        </w:rPr>
      </w:pPr>
      <w:r>
        <w:rPr>
          <w:rFonts w:hint="eastAsia" w:ascii="黑体" w:hAnsi="黑体" w:eastAsia="黑体" w:cs="黑体"/>
        </w:rPr>
        <w:t>一、条款内容</w:t>
      </w:r>
    </w:p>
    <w:p>
      <w:pPr>
        <w:spacing w:line="560" w:lineRule="exact"/>
        <w:ind w:firstLine="640" w:firstLineChars="200"/>
      </w:pPr>
      <w:r>
        <w:rPr>
          <w:rFonts w:hint="eastAsia"/>
        </w:rPr>
        <w:t>在《崇明区加快经济恢复和重振实施方案》第（十九）条“</w:t>
      </w:r>
      <w:r>
        <w:rPr>
          <w:rFonts w:hint="eastAsia"/>
          <w:bCs/>
        </w:rPr>
        <w:t>优化营商环境</w:t>
      </w:r>
      <w:r>
        <w:rPr>
          <w:rFonts w:hint="eastAsia"/>
        </w:rPr>
        <w:t>”中，进一步提升“一网通办”全程网办率，强化电子证照推广和应用，全面实施帮办服务制度，通过线上审批、线上服务、告知承诺制办理、自动顺延许可证有效期等方式，加快推进一批服务、资金、补贴等惠民利企政策“免申即享”。支持投资类企业准入和注册，实施更加便捷的工作流程。</w:t>
      </w:r>
    </w:p>
    <w:p>
      <w:pPr>
        <w:spacing w:line="560" w:lineRule="exact"/>
        <w:ind w:firstLine="640" w:firstLineChars="200"/>
        <w:rPr>
          <w:rFonts w:ascii="黑体" w:hAnsi="黑体" w:eastAsia="黑体" w:cs="黑体"/>
        </w:rPr>
      </w:pPr>
      <w:r>
        <w:rPr>
          <w:rFonts w:hint="eastAsia" w:ascii="黑体" w:hAnsi="黑体" w:eastAsia="黑体" w:cs="黑体"/>
        </w:rPr>
        <w:t>二、执行期限</w:t>
      </w:r>
    </w:p>
    <w:p>
      <w:pPr>
        <w:spacing w:line="560" w:lineRule="exact"/>
        <w:ind w:firstLine="640" w:firstLineChars="200"/>
      </w:pPr>
      <w:r>
        <w:rPr>
          <w:rFonts w:hint="eastAsia"/>
        </w:rPr>
        <w:t>2022年5月30日至2022年12月31日。</w:t>
      </w:r>
    </w:p>
    <w:p>
      <w:pPr>
        <w:spacing w:line="560" w:lineRule="exact"/>
        <w:ind w:firstLine="640" w:firstLineChars="200"/>
        <w:rPr>
          <w:rFonts w:ascii="黑体" w:hAnsi="黑体" w:eastAsia="黑体" w:cs="黑体"/>
        </w:rPr>
      </w:pPr>
      <w:r>
        <w:rPr>
          <w:rFonts w:hint="eastAsia" w:ascii="黑体" w:hAnsi="黑体" w:eastAsia="黑体" w:cs="黑体"/>
        </w:rPr>
        <w:t>三、具体内容</w:t>
      </w:r>
    </w:p>
    <w:p>
      <w:pPr>
        <w:spacing w:line="560" w:lineRule="exact"/>
        <w:ind w:firstLine="640" w:firstLineChars="200"/>
        <w:rPr>
          <w:rFonts w:ascii="楷体" w:hAnsi="楷体" w:eastAsia="楷体"/>
        </w:rPr>
      </w:pPr>
      <w:r>
        <w:rPr>
          <w:rFonts w:hint="eastAsia" w:ascii="楷体" w:hAnsi="楷体" w:eastAsia="楷体"/>
        </w:rPr>
        <w:t>（一）支持对象</w:t>
      </w:r>
    </w:p>
    <w:p>
      <w:pPr>
        <w:spacing w:line="560" w:lineRule="exact"/>
        <w:ind w:firstLine="640" w:firstLineChars="200"/>
      </w:pPr>
      <w:r>
        <w:rPr>
          <w:rFonts w:hint="eastAsia"/>
        </w:rPr>
        <w:t>各类市场主体。</w:t>
      </w:r>
    </w:p>
    <w:p>
      <w:pPr>
        <w:spacing w:line="560" w:lineRule="exact"/>
        <w:ind w:firstLine="640" w:firstLineChars="200"/>
        <w:rPr>
          <w:rFonts w:ascii="楷体" w:hAnsi="楷体" w:eastAsia="楷体"/>
        </w:rPr>
      </w:pPr>
      <w:r>
        <w:rPr>
          <w:rFonts w:hint="eastAsia" w:ascii="楷体" w:hAnsi="楷体" w:eastAsia="楷体"/>
        </w:rPr>
        <w:t>（二）支持内容</w:t>
      </w:r>
    </w:p>
    <w:p>
      <w:pPr>
        <w:spacing w:line="560" w:lineRule="exact"/>
        <w:ind w:firstLine="640" w:firstLineChars="200"/>
      </w:pPr>
      <w:r>
        <w:rPr>
          <w:rFonts w:hint="eastAsia"/>
        </w:rPr>
        <w:t>1.积极推行企业设立、变更全程网办，积极指导帮助各类市场主体通过网上办理登记、备案、公告、公示等业务类型。全程网办中因疫情原因暂无法通过寄递方式缴回原证照的，可通过“远程核实</w:t>
      </w:r>
      <w:r>
        <w:t>+</w:t>
      </w:r>
      <w:r>
        <w:rPr>
          <w:rFonts w:hint="eastAsia"/>
        </w:rPr>
        <w:t>申请人承诺</w:t>
      </w:r>
      <w:r>
        <w:t>+</w:t>
      </w:r>
      <w:r>
        <w:rPr>
          <w:rFonts w:hint="eastAsia"/>
        </w:rPr>
        <w:t>补缴后换发证照”的方式办理。</w:t>
      </w:r>
    </w:p>
    <w:p>
      <w:pPr>
        <w:spacing w:line="560" w:lineRule="exact"/>
        <w:ind w:firstLine="640" w:firstLineChars="200"/>
      </w:pPr>
      <w:r>
        <w:rPr>
          <w:rFonts w:hint="eastAsia"/>
        </w:rPr>
        <w:t>2.市场主体因疫情原因超过简易注销申请时限的，在公示期内无异议的宽展</w:t>
      </w:r>
      <w:r>
        <w:t>30</w:t>
      </w:r>
      <w:r>
        <w:rPr>
          <w:rFonts w:hint="eastAsia"/>
        </w:rPr>
        <w:t>日申请时限。</w:t>
      </w:r>
      <w:r>
        <w:t>2022</w:t>
      </w:r>
      <w:r>
        <w:rPr>
          <w:rFonts w:hint="eastAsia"/>
        </w:rPr>
        <w:t>年后发布简易注销公告企业受疫情影响在宽展期内仍无法递交申请的，如符合受理条件可重新发布一次简易注销公告。</w:t>
      </w:r>
    </w:p>
    <w:p>
      <w:pPr>
        <w:spacing w:line="560" w:lineRule="exact"/>
        <w:ind w:firstLine="640" w:firstLineChars="200"/>
      </w:pPr>
      <w:r>
        <w:rPr>
          <w:rFonts w:hint="eastAsia"/>
        </w:rPr>
        <w:t>3.对申请办理食品经营许可、酒类商品经营许可暂时无法提供公共场所有关规章制度、以及餐厨废弃油脂文件资料的，允许经营者在领取许可证时或者疫情结束后补交。同时优化许可现场核查模式，对不经营冷食、生食、冷加工糕点等高风险食品且食品处理区规模小于20</w:t>
      </w:r>
      <w:r>
        <w:rPr>
          <w:rFonts w:hint="eastAsia" w:ascii="宋体" w:hAnsi="宋体" w:eastAsia="宋体" w:cs="宋体"/>
        </w:rPr>
        <w:t>㎡</w:t>
      </w:r>
      <w:r>
        <w:rPr>
          <w:rFonts w:hint="eastAsia"/>
        </w:rPr>
        <w:t>的免于核查，对实施封闭管理的经营者开展远程云核查，对需要跨区域进行现场核查的委托所属乡镇市场监管所就近核查。</w:t>
      </w:r>
    </w:p>
    <w:p>
      <w:pPr>
        <w:spacing w:line="560" w:lineRule="exact"/>
        <w:ind w:firstLine="640" w:firstLineChars="200"/>
      </w:pPr>
      <w:r>
        <w:rPr>
          <w:rFonts w:hint="eastAsia"/>
        </w:rPr>
        <w:t>4.市场主体因融资担保需求提出出资额变更、章程备案、股权出质、档案及其他证明资料查阅调取等市场准入关联登记服务事项的，开辟绿色通道，专人办、马上办。因疫情原因现场递交申请材料确有困难的，可以全程网办的提供全程网办指导帮办，无法全程网办的可先行进行远程审核，经市场主体承诺后允许后补纸质材料原件。</w:t>
      </w:r>
    </w:p>
    <w:p>
      <w:pPr>
        <w:spacing w:line="560" w:lineRule="exact"/>
        <w:ind w:firstLine="640" w:firstLineChars="200"/>
      </w:pPr>
      <w:r>
        <w:rPr>
          <w:rFonts w:hint="eastAsia"/>
        </w:rPr>
        <w:t>5.在特种设备安全管理、作业人员资格认定延续申请中，允许凭工作单位、居委会出具的疫情管控证明或考试机构延期考试公告，在复工复产后一个月内申请延续。</w:t>
      </w:r>
    </w:p>
    <w:p>
      <w:pPr>
        <w:spacing w:line="560" w:lineRule="exact"/>
        <w:ind w:firstLine="640" w:firstLineChars="200"/>
      </w:pPr>
      <w:r>
        <w:rPr>
          <w:rFonts w:hint="eastAsia"/>
        </w:rPr>
        <w:t>6.投资类企业准入已向市局建议在全市层面统一制定放宽准入的具体操作办法，后续按市局要求落实执行。</w:t>
      </w:r>
    </w:p>
    <w:p>
      <w:pPr>
        <w:spacing w:line="560" w:lineRule="exact"/>
        <w:ind w:firstLine="640" w:firstLineChars="200"/>
        <w:rPr>
          <w:rFonts w:ascii="黑体" w:hAnsi="黑体" w:eastAsia="黑体" w:cs="黑体"/>
        </w:rPr>
      </w:pPr>
      <w:r>
        <w:rPr>
          <w:rFonts w:hint="eastAsia" w:ascii="黑体" w:hAnsi="黑体" w:eastAsia="黑体" w:cs="黑体"/>
        </w:rPr>
        <w:t>四、申请方式和所需材料</w:t>
      </w:r>
    </w:p>
    <w:p>
      <w:pPr>
        <w:spacing w:line="560" w:lineRule="exact"/>
        <w:ind w:firstLine="640" w:firstLineChars="200"/>
      </w:pPr>
      <w:r>
        <w:rPr>
          <w:rFonts w:hint="eastAsia"/>
        </w:rPr>
        <w:t>申请方式：一网通办网上申请或线下窗口直接申请。</w:t>
      </w:r>
    </w:p>
    <w:p>
      <w:pPr>
        <w:spacing w:line="560" w:lineRule="exact"/>
        <w:ind w:firstLine="640" w:firstLineChars="200"/>
        <w:rPr>
          <w:highlight w:val="yellow"/>
        </w:rPr>
      </w:pPr>
      <w:r>
        <w:rPr>
          <w:rFonts w:hint="eastAsia"/>
        </w:rPr>
        <w:t>所需材料：“一网通办”具体事项公示各类申请材料清单。</w:t>
      </w:r>
    </w:p>
    <w:p>
      <w:pPr>
        <w:spacing w:line="560" w:lineRule="exact"/>
        <w:ind w:firstLine="640" w:firstLineChars="200"/>
        <w:rPr>
          <w:rFonts w:ascii="黑体" w:hAnsi="黑体" w:eastAsia="黑体" w:cs="黑体"/>
        </w:rPr>
      </w:pPr>
      <w:r>
        <w:rPr>
          <w:rFonts w:hint="eastAsia" w:ascii="黑体" w:hAnsi="黑体" w:eastAsia="黑体" w:cs="黑体"/>
        </w:rPr>
        <w:t>五、办理路径</w:t>
      </w:r>
    </w:p>
    <w:p>
      <w:pPr>
        <w:spacing w:line="560" w:lineRule="exact"/>
        <w:ind w:firstLine="640" w:firstLineChars="200"/>
      </w:pPr>
      <w:r>
        <w:rPr>
          <w:rFonts w:hint="eastAsia"/>
        </w:rPr>
        <w:t>1.登录“一网通办”申请全程网办。</w:t>
      </w:r>
    </w:p>
    <w:p>
      <w:pPr>
        <w:spacing w:line="560" w:lineRule="exact"/>
        <w:ind w:firstLine="640" w:firstLineChars="200"/>
        <w:rPr>
          <w:highlight w:val="yellow"/>
        </w:rPr>
      </w:pPr>
      <w:r>
        <w:rPr>
          <w:rFonts w:hint="eastAsia"/>
        </w:rPr>
        <w:t>2.至崇明区行政服务中心（含东部中心</w:t>
      </w:r>
      <w:r>
        <w:t>）</w:t>
      </w:r>
      <w:r>
        <w:rPr>
          <w:rFonts w:hint="eastAsia"/>
        </w:rPr>
        <w:t>市场准入窗口直接递交纸质申请材料。</w:t>
      </w:r>
    </w:p>
    <w:p>
      <w:pPr>
        <w:spacing w:line="560" w:lineRule="exact"/>
        <w:ind w:firstLine="640" w:firstLineChars="200"/>
        <w:rPr>
          <w:rFonts w:ascii="黑体" w:hAnsi="黑体" w:eastAsia="黑体" w:cs="黑体"/>
        </w:rPr>
      </w:pPr>
      <w:r>
        <w:rPr>
          <w:rFonts w:hint="eastAsia" w:ascii="黑体" w:hAnsi="黑体" w:eastAsia="黑体" w:cs="黑体"/>
        </w:rPr>
        <w:t>六、联系方式</w:t>
      </w:r>
    </w:p>
    <w:p>
      <w:pPr>
        <w:spacing w:line="560" w:lineRule="exact"/>
        <w:ind w:firstLine="640" w:firstLineChars="200"/>
      </w:pPr>
      <w:r>
        <w:rPr>
          <w:rFonts w:hint="eastAsia"/>
        </w:rPr>
        <w:t>本操作办法由崇明区市场监督管理局负责解释。</w:t>
      </w:r>
    </w:p>
    <w:p>
      <w:pPr>
        <w:spacing w:line="560" w:lineRule="exact"/>
        <w:ind w:firstLine="640" w:firstLineChars="200"/>
      </w:pPr>
      <w:r>
        <w:rPr>
          <w:rFonts w:hint="eastAsia"/>
        </w:rPr>
        <w:t>受理地址：上海市崇明区城桥镇翠竹路1501号二楼市场准入窗口</w:t>
      </w:r>
    </w:p>
    <w:p>
      <w:pPr>
        <w:spacing w:line="560" w:lineRule="exact"/>
        <w:ind w:firstLine="640" w:firstLineChars="200"/>
      </w:pPr>
      <w:r>
        <w:rPr>
          <w:rFonts w:hint="eastAsia"/>
        </w:rPr>
        <w:t>联系人：杨慧  咨询电话：59623213。</w:t>
      </w: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rPr>
          <w:rFonts w:hint="eastAsia"/>
          <w:b/>
        </w:rPr>
      </w:pPr>
    </w:p>
    <w:p>
      <w:pPr>
        <w:widowControl/>
        <w:spacing w:line="560" w:lineRule="exact"/>
        <w:jc w:val="left"/>
      </w:pPr>
    </w:p>
    <w:p>
      <w:pPr>
        <w:widowControl/>
        <w:spacing w:line="560" w:lineRule="exact"/>
        <w:ind w:firstLine="320" w:firstLineChars="100"/>
        <w:jc w:val="left"/>
        <w:rPr>
          <w:rFonts w:hAnsi="Courier New" w:cs="Courier New"/>
          <w:sz w:val="28"/>
          <w:szCs w:val="28"/>
        </w:rPr>
      </w:pPr>
      <w:r>
        <w:rPr>
          <w:rFonts w:hAnsi="Times New Roman" w:cs="Times New Roman"/>
        </w:rPr>
        <w:pict>
          <v:line id="_x0000_s1029" o:spid="_x0000_s1029" o:spt="20" style="position:absolute;left:0pt;margin-left:0pt;margin-top:1.55pt;height:0pt;width:442.2pt;z-index:251658240;mso-width-relative:page;mso-height-relative:page;" coordsize="21600,21600">
            <v:path arrowok="t"/>
            <v:fill focussize="0,0"/>
            <v:stroke weight="1pt"/>
            <v:imagedata o:title=""/>
            <o:lock v:ext="edit"/>
          </v:line>
        </w:pict>
      </w:r>
      <w:r>
        <w:rPr>
          <w:rFonts w:hint="eastAsia" w:hAnsi="Courier New" w:cs="Courier New"/>
          <w:sz w:val="28"/>
          <w:szCs w:val="28"/>
        </w:rPr>
        <w:t>抄送：区发展改革委</w:t>
      </w:r>
    </w:p>
    <w:p>
      <w:pPr>
        <w:pStyle w:val="3"/>
        <w:spacing w:line="560" w:lineRule="exact"/>
        <w:ind w:firstLine="264" w:firstLineChars="100"/>
        <w:jc w:val="left"/>
        <w:rPr>
          <w:rFonts w:ascii="仿宋_GB2312" w:eastAsia="仿宋_GB2312"/>
          <w:spacing w:val="-8"/>
          <w:sz w:val="28"/>
          <w:szCs w:val="28"/>
        </w:rPr>
      </w:pPr>
      <w:r>
        <w:rPr>
          <w:rFonts w:ascii="仿宋_GB2312" w:eastAsia="仿宋_GB2312"/>
          <w:spacing w:val="-8"/>
          <w:sz w:val="28"/>
          <w:szCs w:val="28"/>
        </w:rPr>
        <w:pict>
          <v:line id="_x0000_s1028" o:spid="_x0000_s1028" o:spt="20" style="position:absolute;left:0pt;margin-left:0pt;margin-top:28.95pt;height:0pt;width:442.2pt;z-index:251658240;mso-width-relative:page;mso-height-relative:page;" coordsize="21600,21600">
            <v:path arrowok="t"/>
            <v:fill focussize="0,0"/>
            <v:stroke weight="1pt"/>
            <v:imagedata o:title=""/>
            <o:lock v:ext="edit"/>
          </v:line>
        </w:pict>
      </w:r>
      <w:r>
        <w:rPr>
          <w:rFonts w:ascii="仿宋_GB2312" w:eastAsia="仿宋_GB2312"/>
          <w:spacing w:val="-8"/>
          <w:sz w:val="28"/>
          <w:szCs w:val="28"/>
        </w:rPr>
        <w:pict>
          <v:line id="_x0000_s1027" o:spid="_x0000_s1027" o:spt="20" style="position:absolute;left:0pt;margin-left:0pt;margin-top:1.9pt;height:0pt;width:442.2pt;z-index:251658240;mso-width-relative:page;mso-height-relative:page;" coordsize="21600,21600">
            <v:path arrowok="t"/>
            <v:fill focussize="0,0"/>
            <v:stroke weight="1pt"/>
            <v:imagedata o:title=""/>
            <o:lock v:ext="edit"/>
          </v:line>
        </w:pict>
      </w:r>
      <w:r>
        <w:rPr>
          <w:rFonts w:hint="eastAsia" w:ascii="仿宋_GB2312" w:eastAsia="仿宋_GB2312"/>
          <w:spacing w:val="-8"/>
          <w:sz w:val="28"/>
          <w:szCs w:val="28"/>
        </w:rPr>
        <w:t>上海市崇明区市场监督管理局办公室          2022年6月30日印发</w:t>
      </w:r>
    </w:p>
    <w:sectPr>
      <w:footerReference r:id="rId3" w:type="default"/>
      <w:footerReference r:id="rId4" w:type="even"/>
      <w:pgSz w:w="11906" w:h="16838"/>
      <w:pgMar w:top="2098" w:right="1474" w:bottom="1985" w:left="1588" w:header="851" w:footer="992" w:gutter="0"/>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_GBK">
    <w:altName w:val="微软雅黑"/>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454806"/>
      <w:docPartObj>
        <w:docPartGallery w:val="AutoText"/>
      </w:docPartObj>
    </w:sdtPr>
    <w:sdtContent>
      <w:sdt>
        <w:sdtPr>
          <w:id w:val="19628904"/>
        </w:sdtPr>
        <w:sdtEndPr>
          <w:rPr>
            <w:rFonts w:asciiTheme="majorEastAsia" w:hAnsiTheme="majorEastAsia" w:eastAsiaTheme="majorEastAsia"/>
            <w:sz w:val="28"/>
            <w:szCs w:val="28"/>
          </w:rPr>
        </w:sdtEndPr>
        <w:sdtContent>
          <w:p>
            <w:pPr>
              <w:pStyle w:val="5"/>
              <w:jc w:val="right"/>
              <w:rPr>
                <w:rFonts w:asciiTheme="majorEastAsia" w:hAnsiTheme="majorEastAsia" w:eastAsiaTheme="majorEastAsia"/>
                <w:sz w:val="28"/>
                <w:szCs w:val="28"/>
              </w:rPr>
            </w:pPr>
            <w:r>
              <w:rPr>
                <w:rFonts w:hint="eastAsia" w:asciiTheme="majorEastAsia" w:hAnsiTheme="majorEastAsia" w:eastAsiaTheme="majorEastAsia"/>
                <w:sz w:val="28"/>
                <w:szCs w:val="28"/>
              </w:rPr>
              <w:t>—</w:t>
            </w:r>
            <w:r>
              <w:rPr>
                <w:rFonts w:asciiTheme="majorEastAsia" w:hAnsiTheme="majorEastAsia" w:eastAsiaTheme="majorEastAsia"/>
                <w:sz w:val="28"/>
                <w:szCs w:val="28"/>
              </w:rPr>
              <w:t xml:space="preserve"> </w:t>
            </w:r>
            <w:r>
              <w:rPr>
                <w:rFonts w:asciiTheme="majorEastAsia" w:hAnsiTheme="majorEastAsia" w:eastAsiaTheme="majorEastAsia"/>
                <w:sz w:val="28"/>
                <w:szCs w:val="28"/>
              </w:rPr>
              <w:fldChar w:fldCharType="begin"/>
            </w:r>
            <w:r>
              <w:rPr>
                <w:rFonts w:asciiTheme="majorEastAsia" w:hAnsiTheme="majorEastAsia" w:eastAsiaTheme="majorEastAsia"/>
                <w:sz w:val="28"/>
                <w:szCs w:val="28"/>
              </w:rPr>
              <w:instrText xml:space="preserve"> PAGE   \* MERGEFORMAT </w:instrText>
            </w:r>
            <w:r>
              <w:rPr>
                <w:rFonts w:asciiTheme="majorEastAsia" w:hAnsiTheme="majorEastAsia" w:eastAsiaTheme="majorEastAsia"/>
                <w:sz w:val="28"/>
                <w:szCs w:val="28"/>
              </w:rPr>
              <w:fldChar w:fldCharType="separate"/>
            </w:r>
            <w:r>
              <w:rPr>
                <w:rFonts w:asciiTheme="majorEastAsia" w:hAnsiTheme="majorEastAsia" w:eastAsiaTheme="majorEastAsia"/>
                <w:sz w:val="28"/>
                <w:szCs w:val="28"/>
                <w:lang w:val="zh-CN"/>
              </w:rPr>
              <w:t>1</w:t>
            </w:r>
            <w:r>
              <w:rPr>
                <w:rFonts w:asciiTheme="majorEastAsia" w:hAnsiTheme="majorEastAsia" w:eastAsiaTheme="majorEastAsia"/>
                <w:sz w:val="28"/>
                <w:szCs w:val="28"/>
              </w:rPr>
              <w:fldChar w:fldCharType="end"/>
            </w:r>
            <w:r>
              <w:rPr>
                <w:rFonts w:hint="eastAsia" w:asciiTheme="majorEastAsia" w:hAnsiTheme="majorEastAsia" w:eastAsiaTheme="majorEastAsia"/>
                <w:sz w:val="28"/>
                <w:szCs w:val="28"/>
              </w:rPr>
              <w:t xml:space="preserve"> —</w:t>
            </w:r>
          </w:p>
        </w:sdtContent>
      </w:sdt>
    </w:sdtContent>
  </w:sdt>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454849"/>
    </w:sdtPr>
    <w:sdtEndPr>
      <w:rPr>
        <w:rFonts w:asciiTheme="majorEastAsia" w:hAnsiTheme="majorEastAsia" w:eastAsiaTheme="majorEastAsia"/>
        <w:sz w:val="28"/>
        <w:szCs w:val="28"/>
      </w:rPr>
    </w:sdtEndPr>
    <w:sdtContent>
      <w:p>
        <w:pPr>
          <w:pStyle w:val="5"/>
          <w:rPr>
            <w:rFonts w:asciiTheme="majorEastAsia" w:hAnsiTheme="majorEastAsia" w:eastAsiaTheme="majorEastAsia"/>
            <w:sz w:val="28"/>
            <w:szCs w:val="28"/>
          </w:rPr>
        </w:pPr>
        <w:r>
          <w:rPr>
            <w:rFonts w:hint="eastAsia" w:asciiTheme="majorEastAsia" w:hAnsiTheme="majorEastAsia" w:eastAsiaTheme="majorEastAsia"/>
            <w:sz w:val="28"/>
            <w:szCs w:val="28"/>
          </w:rPr>
          <w:t>—</w:t>
        </w:r>
        <w:r>
          <w:rPr>
            <w:rFonts w:asciiTheme="majorEastAsia" w:hAnsiTheme="majorEastAsia" w:eastAsiaTheme="majorEastAsia"/>
            <w:sz w:val="28"/>
            <w:szCs w:val="28"/>
          </w:rPr>
          <w:t xml:space="preserve"> </w:t>
        </w:r>
        <w:r>
          <w:rPr>
            <w:rFonts w:asciiTheme="majorEastAsia" w:hAnsiTheme="majorEastAsia" w:eastAsiaTheme="majorEastAsia"/>
            <w:sz w:val="28"/>
            <w:szCs w:val="28"/>
          </w:rPr>
          <w:fldChar w:fldCharType="begin"/>
        </w:r>
        <w:r>
          <w:rPr>
            <w:rFonts w:asciiTheme="majorEastAsia" w:hAnsiTheme="majorEastAsia" w:eastAsiaTheme="majorEastAsia"/>
            <w:sz w:val="28"/>
            <w:szCs w:val="28"/>
          </w:rPr>
          <w:instrText xml:space="preserve"> PAGE   \* MERGEFORMAT </w:instrText>
        </w:r>
        <w:r>
          <w:rPr>
            <w:rFonts w:asciiTheme="majorEastAsia" w:hAnsiTheme="majorEastAsia" w:eastAsiaTheme="majorEastAsia"/>
            <w:sz w:val="28"/>
            <w:szCs w:val="28"/>
          </w:rPr>
          <w:fldChar w:fldCharType="separate"/>
        </w:r>
        <w:r>
          <w:rPr>
            <w:rFonts w:asciiTheme="majorEastAsia" w:hAnsiTheme="majorEastAsia" w:eastAsiaTheme="majorEastAsia"/>
            <w:sz w:val="28"/>
            <w:szCs w:val="28"/>
            <w:lang w:val="zh-CN"/>
          </w:rPr>
          <w:t>2</w:t>
        </w:r>
        <w:r>
          <w:rPr>
            <w:rFonts w:asciiTheme="majorEastAsia" w:hAnsiTheme="majorEastAsia" w:eastAsiaTheme="majorEastAsia"/>
            <w:sz w:val="28"/>
            <w:szCs w:val="28"/>
          </w:rPr>
          <w:fldChar w:fldCharType="end"/>
        </w:r>
        <w:r>
          <w:rPr>
            <w:rFonts w:hint="eastAsia" w:asciiTheme="majorEastAsia" w:hAnsiTheme="majorEastAsia" w:eastAsiaTheme="majorEastAsia"/>
            <w:sz w:val="28"/>
            <w:szCs w:val="28"/>
          </w:rPr>
          <w:t xml:space="preserve"> —</w:t>
        </w:r>
      </w:p>
    </w:sdtContent>
  </w:sdt>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evenAndOddHeaders w:val="1"/>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80BD0"/>
    <w:rsid w:val="000105DE"/>
    <w:rsid w:val="00080BD0"/>
    <w:rsid w:val="00127EE0"/>
    <w:rsid w:val="00192672"/>
    <w:rsid w:val="0024029F"/>
    <w:rsid w:val="0028792F"/>
    <w:rsid w:val="00307B2F"/>
    <w:rsid w:val="00560BF1"/>
    <w:rsid w:val="0060503F"/>
    <w:rsid w:val="00646CF3"/>
    <w:rsid w:val="00664EEE"/>
    <w:rsid w:val="006A1BF1"/>
    <w:rsid w:val="00715EE9"/>
    <w:rsid w:val="007A38DC"/>
    <w:rsid w:val="007C6120"/>
    <w:rsid w:val="007F005D"/>
    <w:rsid w:val="00865E8D"/>
    <w:rsid w:val="008E5C6A"/>
    <w:rsid w:val="00965E92"/>
    <w:rsid w:val="00992F22"/>
    <w:rsid w:val="0099720D"/>
    <w:rsid w:val="009D76C6"/>
    <w:rsid w:val="00B3667F"/>
    <w:rsid w:val="00C44999"/>
    <w:rsid w:val="00DB7D29"/>
    <w:rsid w:val="00E71AB4"/>
    <w:rsid w:val="6FD67A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32"/>
      <w:szCs w:val="32"/>
      <w:lang w:val="en-US" w:eastAsia="zh-CN" w:bidi="ar-SA"/>
    </w:rPr>
  </w:style>
  <w:style w:type="paragraph" w:styleId="2">
    <w:name w:val="heading 2"/>
    <w:basedOn w:val="1"/>
    <w:next w:val="1"/>
    <w:link w:val="9"/>
    <w:qFormat/>
    <w:uiPriority w:val="0"/>
    <w:pPr>
      <w:keepNext/>
      <w:keepLines/>
      <w:spacing w:before="260" w:after="260" w:line="416" w:lineRule="auto"/>
      <w:outlineLvl w:val="1"/>
    </w:pPr>
    <w:rPr>
      <w:rFonts w:ascii="Arial" w:hAnsi="Arial" w:eastAsia="黑体" w:cs="Times New Roman"/>
      <w:b/>
      <w:bCs/>
    </w:rPr>
  </w:style>
  <w:style w:type="character" w:default="1" w:styleId="7">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3">
    <w:name w:val="Plain Text"/>
    <w:basedOn w:val="1"/>
    <w:link w:val="13"/>
    <w:uiPriority w:val="0"/>
    <w:rPr>
      <w:rFonts w:ascii="宋体" w:hAnsi="Courier New" w:eastAsia="宋体" w:cs="Courier New"/>
      <w:sz w:val="21"/>
      <w:szCs w:val="21"/>
    </w:rPr>
  </w:style>
  <w:style w:type="paragraph" w:styleId="4">
    <w:name w:val="Balloon Text"/>
    <w:basedOn w:val="1"/>
    <w:link w:val="14"/>
    <w:semiHidden/>
    <w:unhideWhenUsed/>
    <w:uiPriority w:val="99"/>
    <w:rPr>
      <w:sz w:val="18"/>
      <w:szCs w:val="18"/>
    </w:rPr>
  </w:style>
  <w:style w:type="paragraph" w:styleId="5">
    <w:name w:val="footer"/>
    <w:basedOn w:val="1"/>
    <w:link w:val="12"/>
    <w:unhideWhenUsed/>
    <w:qFormat/>
    <w:uiPriority w:val="99"/>
    <w:pPr>
      <w:tabs>
        <w:tab w:val="center" w:pos="4153"/>
        <w:tab w:val="right" w:pos="8306"/>
      </w:tabs>
      <w:snapToGrid w:val="0"/>
      <w:jc w:val="left"/>
    </w:pPr>
    <w:rPr>
      <w:sz w:val="18"/>
      <w:szCs w:val="18"/>
    </w:rPr>
  </w:style>
  <w:style w:type="paragraph" w:styleId="6">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9">
    <w:name w:val="标题 2 Char"/>
    <w:basedOn w:val="7"/>
    <w:link w:val="2"/>
    <w:qFormat/>
    <w:uiPriority w:val="0"/>
    <w:rPr>
      <w:rFonts w:ascii="Arial" w:hAnsi="Arial" w:eastAsia="黑体" w:cs="Times New Roman"/>
      <w:b/>
      <w:bCs/>
      <w:sz w:val="32"/>
      <w:szCs w:val="32"/>
    </w:rPr>
  </w:style>
  <w:style w:type="paragraph" w:styleId="10">
    <w:name w:val="List Paragraph"/>
    <w:basedOn w:val="1"/>
    <w:unhideWhenUsed/>
    <w:uiPriority w:val="99"/>
    <w:pPr>
      <w:ind w:firstLine="420" w:firstLineChars="200"/>
    </w:pPr>
    <w:rPr>
      <w:rFonts w:asciiTheme="minorHAnsi" w:hAnsiTheme="minorHAnsi" w:eastAsiaTheme="minorEastAsia" w:cstheme="minorBidi"/>
      <w:sz w:val="21"/>
      <w:szCs w:val="24"/>
    </w:rPr>
  </w:style>
  <w:style w:type="character" w:customStyle="1" w:styleId="11">
    <w:name w:val="页眉 Char"/>
    <w:basedOn w:val="7"/>
    <w:link w:val="6"/>
    <w:semiHidden/>
    <w:qFormat/>
    <w:uiPriority w:val="99"/>
    <w:rPr>
      <w:rFonts w:ascii="仿宋_GB2312" w:hAnsi="仿宋_GB2312" w:eastAsia="仿宋_GB2312" w:cs="仿宋_GB2312"/>
      <w:sz w:val="18"/>
      <w:szCs w:val="18"/>
    </w:rPr>
  </w:style>
  <w:style w:type="character" w:customStyle="1" w:styleId="12">
    <w:name w:val="页脚 Char"/>
    <w:basedOn w:val="7"/>
    <w:link w:val="5"/>
    <w:qFormat/>
    <w:uiPriority w:val="99"/>
    <w:rPr>
      <w:rFonts w:ascii="仿宋_GB2312" w:hAnsi="仿宋_GB2312" w:eastAsia="仿宋_GB2312" w:cs="仿宋_GB2312"/>
      <w:sz w:val="18"/>
      <w:szCs w:val="18"/>
    </w:rPr>
  </w:style>
  <w:style w:type="character" w:customStyle="1" w:styleId="13">
    <w:name w:val="纯文本 Char"/>
    <w:basedOn w:val="7"/>
    <w:link w:val="3"/>
    <w:qFormat/>
    <w:uiPriority w:val="0"/>
    <w:rPr>
      <w:rFonts w:ascii="宋体" w:hAnsi="Courier New" w:eastAsia="宋体" w:cs="Courier New"/>
      <w:szCs w:val="21"/>
    </w:rPr>
  </w:style>
  <w:style w:type="character" w:customStyle="1" w:styleId="14">
    <w:name w:val="批注框文本 Char"/>
    <w:basedOn w:val="7"/>
    <w:link w:val="4"/>
    <w:semiHidden/>
    <w:uiPriority w:val="99"/>
    <w:rPr>
      <w:rFonts w:ascii="仿宋_GB2312" w:hAnsi="仿宋_GB2312" w:eastAsia="仿宋_GB2312" w:cs="仿宋_GB231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754</Words>
  <Characters>4298</Characters>
  <Lines>35</Lines>
  <Paragraphs>10</Paragraphs>
  <TotalTime>47</TotalTime>
  <ScaleCrop>false</ScaleCrop>
  <LinksUpToDate>false</LinksUpToDate>
  <CharactersWithSpaces>5042</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2022-06-27T07:22:00Z</dcterms:created>
  <dc:creator>顾君玺</dc:creator>
  <cp:lastModifiedBy>无态度先生</cp:lastModifiedBy>
  <cp:lastPrinted>2022-06-30T09:13:11Z</cp:lastPrinted>
  <dcterms:modified xsi:type="dcterms:W3CDTF">2022-06-30T09:15:12Z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